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6062"/>
        <w:gridCol w:w="3952"/>
      </w:tblGrid>
      <w:tr w:rsidR="00874092" w:rsidRPr="00F741D9" w14:paraId="50CEDA81" w14:textId="77777777" w:rsidTr="00874092">
        <w:tc>
          <w:tcPr>
            <w:tcW w:w="3027" w:type="pct"/>
          </w:tcPr>
          <w:p w14:paraId="50CEDA74" w14:textId="77777777" w:rsidR="00874092" w:rsidRPr="00F741D9" w:rsidRDefault="00874092">
            <w:pPr>
              <w:rPr>
                <w:lang w:val="en-US"/>
              </w:rPr>
            </w:pPr>
            <w:r>
              <w:rPr>
                <w:sz w:val="48"/>
                <w:szCs w:val="48"/>
                <w:lang w:val="en-US"/>
              </w:rPr>
              <w:t>Betonový potěr rychlý SE 24</w:t>
            </w:r>
            <w:r w:rsidRPr="00F741D9">
              <w:rPr>
                <w:sz w:val="48"/>
                <w:szCs w:val="48"/>
                <w:lang w:val="en-US"/>
              </w:rPr>
              <w:br/>
            </w:r>
            <w:r w:rsidRPr="00F741D9">
              <w:rPr>
                <w:sz w:val="48"/>
                <w:szCs w:val="48"/>
                <w:lang w:val="en-US"/>
              </w:rPr>
              <w:br/>
            </w:r>
          </w:p>
          <w:p w14:paraId="50CEDA75" w14:textId="77777777" w:rsidR="00874092" w:rsidRPr="00F741D9" w:rsidRDefault="00874092" w:rsidP="00DE79A7">
            <w:pPr>
              <w:rPr>
                <w:sz w:val="24"/>
                <w:szCs w:val="24"/>
                <w:lang w:val="en-US"/>
              </w:rPr>
            </w:pPr>
            <w:r>
              <w:rPr>
                <w:sz w:val="24"/>
                <w:szCs w:val="24"/>
                <w:lang w:val="en-US"/>
              </w:rPr>
              <w:t>&gt; rychletuhnoucí</w:t>
            </w:r>
          </w:p>
          <w:p w14:paraId="50CEDA76" w14:textId="77777777" w:rsidR="00874092" w:rsidRPr="00F741D9" w:rsidRDefault="00874092" w:rsidP="00DE79A7">
            <w:pPr>
              <w:rPr>
                <w:sz w:val="24"/>
                <w:szCs w:val="24"/>
                <w:lang w:val="en-US"/>
              </w:rPr>
            </w:pPr>
            <w:r>
              <w:rPr>
                <w:sz w:val="24"/>
                <w:szCs w:val="24"/>
                <w:lang w:val="en-US"/>
              </w:rPr>
              <w:t>&gt; hotová potěrová směs</w:t>
            </w:r>
          </w:p>
          <w:p w14:paraId="50CEDA77" w14:textId="77777777" w:rsidR="00874092" w:rsidRPr="00F741D9" w:rsidRDefault="00874092" w:rsidP="00DE79A7">
            <w:pPr>
              <w:rPr>
                <w:sz w:val="24"/>
                <w:szCs w:val="24"/>
                <w:lang w:val="en-US"/>
              </w:rPr>
            </w:pPr>
            <w:r>
              <w:rPr>
                <w:sz w:val="24"/>
                <w:szCs w:val="24"/>
                <w:lang w:val="en-US"/>
              </w:rPr>
              <w:t>&gt; pro interiér i exteriér</w:t>
            </w:r>
          </w:p>
          <w:p w14:paraId="50CEDA78" w14:textId="77777777" w:rsidR="00874092" w:rsidRPr="00F741D9" w:rsidRDefault="00874092" w:rsidP="00DE79A7">
            <w:pPr>
              <w:rPr>
                <w:sz w:val="24"/>
                <w:szCs w:val="24"/>
                <w:lang w:val="en-US"/>
              </w:rPr>
            </w:pPr>
            <w:r>
              <w:rPr>
                <w:sz w:val="24"/>
                <w:szCs w:val="24"/>
                <w:lang w:val="en-US"/>
              </w:rPr>
              <w:t>&gt; lepení dlažby již po 24 hod.</w:t>
            </w:r>
          </w:p>
          <w:p w14:paraId="50CEDA79" w14:textId="77777777" w:rsidR="00874092" w:rsidRPr="00F741D9" w:rsidRDefault="00874092" w:rsidP="00DE79A7">
            <w:pPr>
              <w:rPr>
                <w:lang w:val="en-US"/>
              </w:rPr>
            </w:pPr>
          </w:p>
        </w:tc>
        <w:tc>
          <w:tcPr>
            <w:tcW w:w="1973" w:type="pct"/>
          </w:tcPr>
          <w:p w14:paraId="50CEDA7A" w14:textId="77777777" w:rsidR="00874092" w:rsidRPr="00F741D9" w:rsidRDefault="00874092">
            <w:pPr>
              <w:rPr>
                <w:lang w:val="en-US"/>
              </w:rPr>
            </w:pPr>
          </w:p>
          <w:tbl>
            <w:tblPr>
              <w:tblW w:w="4991" w:type="pct"/>
              <w:tblLook w:val="04A0" w:firstRow="1" w:lastRow="0" w:firstColumn="1" w:lastColumn="0" w:noHBand="0" w:noVBand="1"/>
            </w:tblPr>
            <w:tblGrid>
              <w:gridCol w:w="696"/>
              <w:gridCol w:w="3033"/>
            </w:tblGrid>
            <w:tr w:rsidR="00874092" w:rsidRPr="00F741D9" w14:paraId="50CEDA7D" w14:textId="77777777" w:rsidTr="00874092">
              <w:tc>
                <w:tcPr>
                  <w:tcW w:w="909" w:type="pct"/>
                </w:tcPr>
                <w:p w14:paraId="50CEDA7B" w14:textId="77777777" w:rsidR="00874092" w:rsidRPr="00F741D9" w:rsidRDefault="00874092">
                  <w:r>
                    <w:rPr>
                      <w:noProof/>
                      <w:lang w:val="cs-CZ" w:eastAsia="cs-CZ"/>
                    </w:rPr>
                    <w:drawing>
                      <wp:inline distT="0" distB="0" distL="0" distR="0">
                        <wp:extent cx="304832" cy="30483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4832" cy="304832"/>
                                </a:xfrm>
                                <a:prstGeom prst="rect">
                                  <a:avLst/>
                                </a:prstGeom>
                              </pic:spPr>
                            </pic:pic>
                          </a:graphicData>
                        </a:graphic>
                      </wp:inline>
                    </w:drawing>
                  </w:r>
                </w:p>
              </w:tc>
              <w:tc>
                <w:tcPr>
                  <w:tcW w:w="4091" w:type="pct"/>
                </w:tcPr>
                <w:p w14:paraId="50CEDA7C" w14:textId="77777777" w:rsidR="00874092" w:rsidRPr="00F741D9" w:rsidRDefault="00874092" w:rsidP="00874092">
                  <w:r>
                    <w:rPr>
                      <w:noProof/>
                      <w:lang w:val="cs-CZ" w:eastAsia="cs-CZ"/>
                    </w:rPr>
                    <w:drawing>
                      <wp:inline distT="0" distB="0" distL="0" distR="0">
                        <wp:extent cx="1162172" cy="18099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62172" cy="1809940"/>
                                </a:xfrm>
                                <a:prstGeom prst="rect">
                                  <a:avLst/>
                                </a:prstGeom>
                              </pic:spPr>
                            </pic:pic>
                          </a:graphicData>
                        </a:graphic>
                      </wp:inline>
                    </w:drawing>
                  </w:r>
                </w:p>
              </w:tc>
            </w:tr>
            <w:tr w:rsidR="00874092" w:rsidRPr="00F741D9" w14:paraId="50CEDA7F" w14:textId="77777777" w:rsidTr="00874092">
              <w:tc>
                <w:tcPr>
                  <w:tcW w:w="5000" w:type="pct"/>
                  <w:gridSpan w:val="2"/>
                </w:tcPr>
                <w:p w14:paraId="50CEDA7E" w14:textId="77777777" w:rsidR="00874092" w:rsidRPr="00F741D9" w:rsidRDefault="00874092" w:rsidP="00874092">
                  <w:pPr>
                    <w:jc w:val="right"/>
                  </w:pPr>
                  <w:r>
                    <w:rPr>
                      <w:noProof/>
                      <w:lang w:val="cs-CZ" w:eastAsia="cs-CZ"/>
                    </w:rPr>
                    <w:drawing>
                      <wp:inline distT="0" distB="0" distL="0" distR="0">
                        <wp:extent cx="1219328" cy="30483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19328" cy="304832"/>
                                </a:xfrm>
                                <a:prstGeom prst="rect">
                                  <a:avLst/>
                                </a:prstGeom>
                              </pic:spPr>
                            </pic:pic>
                          </a:graphicData>
                        </a:graphic>
                      </wp:inline>
                    </w:drawing>
                  </w:r>
                </w:p>
              </w:tc>
            </w:tr>
          </w:tbl>
          <w:p w14:paraId="50CEDA80" w14:textId="77777777" w:rsidR="00874092" w:rsidRPr="00F741D9" w:rsidRDefault="00874092"/>
        </w:tc>
      </w:tr>
    </w:tbl>
    <w:p w14:paraId="50CEDA82" w14:textId="77777777" w:rsidR="00D45DAC" w:rsidRPr="00F741D9" w:rsidRDefault="00D45DAC">
      <w:pPr>
        <w:rPr>
          <w:sz w:val="30"/>
          <w:szCs w:val="30"/>
        </w:rPr>
      </w:pPr>
    </w:p>
    <w:tbl>
      <w:tblPr>
        <w:tblW w:w="5000" w:type="pct"/>
        <w:tblLook w:val="04A0" w:firstRow="1" w:lastRow="0" w:firstColumn="1" w:lastColumn="0" w:noHBand="0" w:noVBand="1"/>
      </w:tblPr>
      <w:tblGrid>
        <w:gridCol w:w="10014"/>
      </w:tblGrid>
      <w:tr w:rsidR="00D45DAC" w:rsidRPr="00F741D9" w14:paraId="50CEDA84" w14:textId="77777777" w:rsidTr="005B3059">
        <w:trPr>
          <w:trHeight w:hRule="exact" w:val="480"/>
        </w:trPr>
        <w:tc>
          <w:tcPr>
            <w:tcW w:w="1500" w:type="pct"/>
            <w:shd w:val="clear" w:color="auto" w:fill="D04F7E"/>
            <w:vAlign w:val="center"/>
          </w:tcPr>
          <w:p w14:paraId="50CEDA83" w14:textId="77777777" w:rsidR="00D45DAC" w:rsidRPr="00F741D9" w:rsidRDefault="00F75A42">
            <w:r>
              <w:rPr>
                <w:rFonts w:cs="Arial"/>
                <w:b/>
                <w:color w:val="FFFFFF"/>
                <w:sz w:val="24"/>
                <w:szCs w:val="24"/>
              </w:rPr>
              <w:t>Popis produktu</w:t>
            </w:r>
          </w:p>
        </w:tc>
      </w:tr>
      <w:tr w:rsidR="00D45DAC" w:rsidRPr="00F741D9" w14:paraId="50CEDA92" w14:textId="77777777" w:rsidTr="005B3059">
        <w:tc>
          <w:tcPr>
            <w:tcW w:w="1500" w:type="pct"/>
          </w:tcPr>
          <w:p w14:paraId="50CEDA85" w14:textId="77777777" w:rsidR="005129FE" w:rsidRPr="00F741D9" w:rsidRDefault="005129FE" w:rsidP="00DE79A7">
            <w:pPr>
              <w:rPr>
                <w:lang w:val="de-AT"/>
              </w:rPr>
            </w:pPr>
          </w:p>
          <w:p w14:paraId="054146C2" w14:textId="77777777" w:rsidR="00D20C0B" w:rsidRPr="00D20C0B" w:rsidRDefault="00D20C0B" w:rsidP="00D20C0B">
            <w:pPr>
              <w:rPr>
                <w:lang w:val="de-AT"/>
              </w:rPr>
            </w:pPr>
            <w:r w:rsidRPr="00D20C0B">
              <w:rPr>
                <w:lang w:val="de-AT"/>
              </w:rPr>
              <w:t>Hotová univerzálně použitelná suchá betonová směs ke zhotovení potěrů, zpracovatelná ručně nebo strojně.</w:t>
            </w:r>
          </w:p>
          <w:p w14:paraId="34443A2C" w14:textId="77777777" w:rsidR="00D20C0B" w:rsidRPr="00D20C0B" w:rsidRDefault="00D20C0B" w:rsidP="00D20C0B">
            <w:pPr>
              <w:rPr>
                <w:lang w:val="de-AT"/>
              </w:rPr>
            </w:pPr>
            <w:r w:rsidRPr="00D20C0B">
              <w:rPr>
                <w:lang w:val="de-AT"/>
              </w:rPr>
              <w:t xml:space="preserve">V interiéru i exteiéru, na terasy a balkony, do koupelen a sprch, jako plovoucí potěr na oddělovací vrstvě, nebo potěr spřažený. Bez dalších přísad jej lze také použít jako potěr vytápěný. </w:t>
            </w:r>
          </w:p>
          <w:p w14:paraId="38787E94" w14:textId="77777777" w:rsidR="00D20C0B" w:rsidRPr="00D20C0B" w:rsidRDefault="00D20C0B" w:rsidP="00D20C0B">
            <w:pPr>
              <w:rPr>
                <w:lang w:val="de-AT"/>
              </w:rPr>
            </w:pPr>
            <w:r w:rsidRPr="00D20C0B">
              <w:rPr>
                <w:lang w:val="de-AT"/>
              </w:rPr>
              <w:t xml:space="preserve">Potěr vyniká velmi rychlým tuhnutím a extrémně nízkou zbytkovou vlhkostí. Je vhodný pro použití v interiéru i do míst se zvýšenou vlhkostní zátěží (koupelnym, sprchy) a také do exteriéru (balkony, terasy). </w:t>
            </w:r>
          </w:p>
          <w:p w14:paraId="019CD062" w14:textId="77777777" w:rsidR="00D20C0B" w:rsidRPr="00D20C0B" w:rsidRDefault="00D20C0B" w:rsidP="00D20C0B">
            <w:pPr>
              <w:rPr>
                <w:lang w:val="de-AT"/>
              </w:rPr>
            </w:pPr>
            <w:r w:rsidRPr="00D20C0B">
              <w:rPr>
                <w:lang w:val="de-AT"/>
              </w:rPr>
              <w:t>Nevhodný do míst s extrémně vysokou zátěží vlhkostí (bazény,</w:t>
            </w:r>
            <w:bookmarkStart w:id="0" w:name="_GoBack"/>
            <w:bookmarkEnd w:id="0"/>
            <w:r w:rsidRPr="00D20C0B">
              <w:rPr>
                <w:lang w:val="de-AT"/>
              </w:rPr>
              <w:t xml:space="preserve"> nádrže na vodu, myčky aut apod.).</w:t>
            </w:r>
          </w:p>
          <w:p w14:paraId="50CEDA86" w14:textId="77F2E031" w:rsidR="00D45DAC" w:rsidRPr="00F741D9" w:rsidRDefault="00D20C0B" w:rsidP="00D20C0B">
            <w:pPr>
              <w:rPr>
                <w:lang w:val="de-AT"/>
              </w:rPr>
            </w:pPr>
            <w:r w:rsidRPr="00D20C0B">
              <w:rPr>
                <w:lang w:val="de-AT"/>
              </w:rPr>
              <w:t>Po cca 24 hodinách dosahuje vysokých pevností a zbytkové vlhkosti pod 2% CM a je tedy připraven k pokládce dlažby.</w:t>
            </w:r>
            <w:r w:rsidR="00124178" w:rsidRPr="00F741D9">
              <w:rPr>
                <w:lang w:val="de-AT"/>
              </w:rPr>
              <w:br/>
            </w:r>
            <w:r w:rsidR="00124178" w:rsidRPr="00F741D9">
              <w:rPr>
                <w:lang w:val="de-AT"/>
              </w:rPr>
              <w:br/>
            </w:r>
            <w:r w:rsidR="00DE79A7">
              <w:rPr>
                <w:rFonts w:ascii="Calibri" w:eastAsia="Calibri" w:hAnsi="Calibri" w:cs="Calibri"/>
                <w:b/>
                <w:color w:val="000000"/>
                <w:sz w:val="20"/>
              </w:rPr>
              <w:t>Balení:</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10"/>
              <w:gridCol w:w="2310"/>
              <w:gridCol w:w="2310"/>
            </w:tblGrid>
            <w:tr w:rsidR="00D55156" w:rsidRPr="00F741D9" w14:paraId="50CEDA8A" w14:textId="77777777" w:rsidTr="00D55156">
              <w:trPr>
                <w:trHeight w:hRule="exact" w:val="360"/>
              </w:trPr>
              <w:tc>
                <w:tcPr>
                  <w:tcW w:w="2310" w:type="dxa"/>
                  <w:vAlign w:val="center"/>
                </w:tcPr>
                <w:p w14:paraId="50CEDA87" w14:textId="77777777" w:rsidR="00D55156" w:rsidRDefault="00D55156" w:rsidP="00D55156">
                  <w:pPr>
                    <w:rPr>
                      <w:rFonts w:ascii="Calibri" w:eastAsia="Calibri" w:hAnsi="Calibri" w:cs="Calibri"/>
                    </w:rPr>
                  </w:pPr>
                  <w:r>
                    <w:rPr>
                      <w:rFonts w:ascii="Calibri" w:eastAsia="Calibri" w:hAnsi="Calibri" w:cs="Calibri"/>
                      <w:b/>
                      <w:color w:val="000000"/>
                      <w:sz w:val="20"/>
                    </w:rPr>
                    <w:t>Obal</w:t>
                  </w:r>
                </w:p>
              </w:tc>
              <w:tc>
                <w:tcPr>
                  <w:tcW w:w="2310" w:type="dxa"/>
                  <w:vAlign w:val="center"/>
                </w:tcPr>
                <w:p w14:paraId="50CEDA88" w14:textId="77777777" w:rsidR="00D55156" w:rsidRDefault="00D55156" w:rsidP="00D55156">
                  <w:pPr>
                    <w:rPr>
                      <w:rFonts w:ascii="Calibri" w:eastAsia="Calibri" w:hAnsi="Calibri" w:cs="Calibri"/>
                    </w:rPr>
                  </w:pPr>
                  <w:r>
                    <w:rPr>
                      <w:rFonts w:ascii="Calibri" w:eastAsia="Calibri" w:hAnsi="Calibri" w:cs="Calibri"/>
                      <w:b/>
                      <w:color w:val="000000"/>
                      <w:sz w:val="20"/>
                    </w:rPr>
                    <w:t>Velkoobchodní obal</w:t>
                  </w:r>
                </w:p>
              </w:tc>
              <w:tc>
                <w:tcPr>
                  <w:tcW w:w="2310" w:type="dxa"/>
                  <w:vAlign w:val="center"/>
                </w:tcPr>
                <w:p w14:paraId="50CEDA89" w14:textId="77777777" w:rsidR="00D55156" w:rsidRDefault="00D55156" w:rsidP="00D55156">
                  <w:pPr>
                    <w:rPr>
                      <w:rFonts w:ascii="Calibri" w:eastAsia="Calibri" w:hAnsi="Calibri" w:cs="Calibri"/>
                    </w:rPr>
                  </w:pPr>
                  <w:r>
                    <w:rPr>
                      <w:rFonts w:ascii="Calibri" w:eastAsia="Calibri" w:hAnsi="Calibri" w:cs="Calibri"/>
                      <w:b/>
                      <w:color w:val="000000"/>
                      <w:sz w:val="20"/>
                    </w:rPr>
                    <w:t>Paleta</w:t>
                  </w:r>
                </w:p>
              </w:tc>
            </w:tr>
            <w:tr w:rsidR="00AF56A2" w14:paraId="081CD14C" w14:textId="77777777">
              <w:tc>
                <w:tcPr>
                  <w:tcW w:w="2310" w:type="dxa"/>
                  <w:tcBorders>
                    <w:left w:val="single" w:sz="2" w:space="0" w:color="000000"/>
                    <w:bottom w:val="single" w:sz="2" w:space="0" w:color="000000"/>
                  </w:tcBorders>
                </w:tcPr>
                <w:p w14:paraId="5D9C0C24" w14:textId="77777777" w:rsidR="00AF56A2" w:rsidRDefault="009A2FB9">
                  <w:r>
                    <w:t>25 KG / PS</w:t>
                  </w:r>
                </w:p>
              </w:tc>
              <w:tc>
                <w:tcPr>
                  <w:tcW w:w="2310" w:type="dxa"/>
                  <w:tcBorders>
                    <w:left w:val="single" w:sz="2" w:space="0" w:color="000000"/>
                    <w:bottom w:val="single" w:sz="2" w:space="0" w:color="000000"/>
                  </w:tcBorders>
                </w:tcPr>
                <w:p w14:paraId="468A9BAB" w14:textId="77777777" w:rsidR="00AF56A2" w:rsidRDefault="00AF56A2"/>
              </w:tc>
              <w:tc>
                <w:tcPr>
                  <w:tcW w:w="2310" w:type="dxa"/>
                  <w:tcBorders>
                    <w:left w:val="single" w:sz="2" w:space="0" w:color="000000"/>
                    <w:bottom w:val="single" w:sz="2" w:space="0" w:color="000000"/>
                    <w:right w:val="single" w:sz="2" w:space="0" w:color="000000"/>
                  </w:tcBorders>
                </w:tcPr>
                <w:p w14:paraId="4E82B9C0" w14:textId="128A73C1" w:rsidR="00AF56A2" w:rsidRDefault="00D20C0B">
                  <w:r>
                    <w:t>49</w:t>
                  </w:r>
                </w:p>
              </w:tc>
            </w:tr>
          </w:tbl>
          <w:p w14:paraId="50CEDA8F" w14:textId="77777777" w:rsidR="00DE79A7" w:rsidRPr="00F741D9" w:rsidRDefault="00DE79A7">
            <w:pPr>
              <w:rPr>
                <w:rFonts w:cs="Arial"/>
                <w:b/>
                <w:color w:val="000000"/>
                <w:sz w:val="20"/>
                <w:szCs w:val="20"/>
              </w:rPr>
            </w:pPr>
          </w:p>
          <w:p w14:paraId="50CEDA90" w14:textId="77777777" w:rsidR="00D45DAC" w:rsidRPr="00F741D9" w:rsidRDefault="00D51898">
            <w:r>
              <w:rPr>
                <w:rFonts w:cs="Arial"/>
                <w:b/>
                <w:color w:val="000000"/>
                <w:sz w:val="20"/>
                <w:szCs w:val="20"/>
              </w:rPr>
              <w:t>Skladování:</w:t>
            </w:r>
            <w:r w:rsidR="00DE79A7" w:rsidRPr="00F741D9">
              <w:rPr>
                <w:rFonts w:cs="Arial"/>
                <w:b/>
                <w:color w:val="000000"/>
                <w:sz w:val="20"/>
                <w:szCs w:val="20"/>
              </w:rPr>
              <w:t xml:space="preserve"> </w:t>
            </w:r>
            <w:r w:rsidR="00DE79A7" w:rsidRPr="00F741D9">
              <w:br/>
            </w:r>
            <w:r>
              <w:t>V suchu na dřevěných roštech v neporušeném originálním balení po dobu cca 9 měsíců.</w:t>
            </w:r>
          </w:p>
          <w:p w14:paraId="50CEDA91" w14:textId="77777777" w:rsidR="00D45DAC" w:rsidRPr="00F741D9" w:rsidRDefault="00D45DAC"/>
        </w:tc>
      </w:tr>
      <w:tr w:rsidR="00D45DAC" w:rsidRPr="00F741D9" w14:paraId="50CEDA94" w14:textId="77777777" w:rsidTr="005B3059">
        <w:trPr>
          <w:trHeight w:hRule="exact" w:val="480"/>
        </w:trPr>
        <w:tc>
          <w:tcPr>
            <w:tcW w:w="1500" w:type="pct"/>
            <w:shd w:val="clear" w:color="auto" w:fill="D04F7E"/>
            <w:vAlign w:val="center"/>
          </w:tcPr>
          <w:p w14:paraId="50CEDA93" w14:textId="77777777" w:rsidR="00D45DAC" w:rsidRPr="00F741D9" w:rsidRDefault="000B3EC1">
            <w:r>
              <w:rPr>
                <w:rFonts w:cs="Arial"/>
                <w:b/>
                <w:color w:val="FFFFFF"/>
                <w:sz w:val="24"/>
                <w:szCs w:val="24"/>
              </w:rPr>
              <w:t>Zpracování</w:t>
            </w:r>
          </w:p>
        </w:tc>
      </w:tr>
      <w:tr w:rsidR="00D45DAC" w:rsidRPr="003A6C79" w14:paraId="50CEDA99" w14:textId="77777777" w:rsidTr="005B3059">
        <w:tc>
          <w:tcPr>
            <w:tcW w:w="1500" w:type="pct"/>
          </w:tcPr>
          <w:p w14:paraId="50CEDA96" w14:textId="103BE305" w:rsidR="00D45DAC" w:rsidRPr="00F741D9" w:rsidRDefault="00124178">
            <w:pPr>
              <w:rPr>
                <w:rFonts w:cs="Arial"/>
                <w:color w:val="000000"/>
                <w:sz w:val="20"/>
                <w:szCs w:val="20"/>
                <w:lang w:val="en-US"/>
              </w:rPr>
            </w:pPr>
            <w:r w:rsidRPr="00F741D9">
              <w:rPr>
                <w:lang w:val="en-US"/>
              </w:rPr>
              <w:br/>
            </w:r>
            <w:r>
              <w:rPr>
                <w:rFonts w:cs="Arial"/>
                <w:b/>
                <w:color w:val="000000"/>
                <w:sz w:val="20"/>
                <w:szCs w:val="20"/>
                <w:lang w:val="en-US"/>
              </w:rPr>
              <w:t>Míchání:</w:t>
            </w:r>
            <w:r w:rsidRPr="00F741D9">
              <w:rPr>
                <w:rFonts w:cs="Arial"/>
                <w:b/>
                <w:color w:val="000000"/>
                <w:sz w:val="20"/>
                <w:szCs w:val="20"/>
                <w:lang w:val="en-US"/>
              </w:rPr>
              <w:t xml:space="preserve"> </w:t>
            </w:r>
            <w:r w:rsidRPr="00F741D9">
              <w:rPr>
                <w:lang w:val="en-US"/>
              </w:rPr>
              <w:br/>
            </w:r>
            <w:r>
              <w:rPr>
                <w:lang w:val="en-US"/>
              </w:rPr>
              <w:t>Nízkootáčkovým elektrickým mísidlem míchejte s předepsaným množstvím vody dokud nevznikne homogenní směs bez hrudek. Lze míchat i strojně v běžných typech stavebních míchaček nebo v kontinuálním mísícím zařízení.</w:t>
            </w:r>
            <w:r>
              <w:rPr>
                <w:lang w:val="en-US"/>
              </w:rPr>
              <w:br/>
              <w:t>Dodržte předepsané množství záměsové vody, příliš velké množství vody může vést k narušení procesu tuhnutí a tvrdnutí. Směs je po namíchání zavlhlá.</w:t>
            </w:r>
          </w:p>
          <w:p w14:paraId="50CEDA97" w14:textId="77777777" w:rsidR="00DE79A7" w:rsidRPr="00F741D9" w:rsidRDefault="00DE79A7">
            <w:pPr>
              <w:rPr>
                <w:lang w:val="en-US"/>
              </w:rPr>
            </w:pPr>
          </w:p>
          <w:p w14:paraId="50CEDA98" w14:textId="77777777" w:rsidR="00D45DAC" w:rsidRPr="00F741D9" w:rsidRDefault="00D51898" w:rsidP="00DE79A7">
            <w:pPr>
              <w:rPr>
                <w:lang w:val="en-US"/>
              </w:rPr>
            </w:pPr>
            <w:r>
              <w:rPr>
                <w:rFonts w:cs="Arial"/>
                <w:b/>
                <w:color w:val="000000"/>
                <w:sz w:val="20"/>
                <w:szCs w:val="20"/>
                <w:lang w:val="en-US"/>
              </w:rPr>
              <w:t>Zpracování:</w:t>
            </w:r>
            <w:r w:rsidR="00DE79A7" w:rsidRPr="00F741D9">
              <w:rPr>
                <w:rFonts w:cs="Arial"/>
                <w:b/>
                <w:color w:val="000000"/>
                <w:sz w:val="20"/>
                <w:szCs w:val="20"/>
                <w:lang w:val="en-US"/>
              </w:rPr>
              <w:t xml:space="preserve"> </w:t>
            </w:r>
            <w:r w:rsidR="00DE79A7" w:rsidRPr="00F741D9">
              <w:rPr>
                <w:lang w:val="en-US"/>
              </w:rPr>
              <w:br/>
            </w:r>
            <w:r>
              <w:rPr>
                <w:lang w:val="en-US"/>
              </w:rPr>
              <w:t>Zpracování jako spřažený potěr:</w:t>
            </w:r>
            <w:r>
              <w:rPr>
                <w:lang w:val="en-US"/>
              </w:rPr>
              <w:br/>
              <w:t>Čerstvou potěrovou směs nanášejte v požadované vrstvě na právě aplikovaný, ještě vlhký adhezní můstek (Repol Adhézní povlak HS 1) systémem „mokré do mokrého“. Vrstvu potěru zhutněte a uhlaďte.</w:t>
            </w:r>
            <w:r>
              <w:rPr>
                <w:lang w:val="en-US"/>
              </w:rPr>
              <w:br/>
              <w:t>Následné ošetření:</w:t>
            </w:r>
            <w:r>
              <w:rPr>
                <w:lang w:val="en-US"/>
              </w:rPr>
              <w:br/>
              <w:t>Vhodnými opatřeními zamezte příliš rychlému vysýchání směsi. Použité nářadí očistěte ihned vodou.</w:t>
            </w:r>
            <w:r w:rsidR="00124178" w:rsidRPr="00F741D9">
              <w:rPr>
                <w:lang w:val="en-US"/>
              </w:rPr>
              <w:br/>
            </w:r>
          </w:p>
        </w:tc>
      </w:tr>
      <w:tr w:rsidR="00D45DAC" w:rsidRPr="003A6C79" w14:paraId="50CEDA9B" w14:textId="77777777" w:rsidTr="005B3059">
        <w:tc>
          <w:tcPr>
            <w:tcW w:w="1500" w:type="pct"/>
          </w:tcPr>
          <w:p w14:paraId="50CEDA9A" w14:textId="77777777" w:rsidR="00D45DAC" w:rsidRPr="00F741D9" w:rsidRDefault="00D45DAC" w:rsidP="00DE79A7">
            <w:pPr>
              <w:rPr>
                <w:lang w:val="en-US"/>
              </w:rPr>
            </w:pPr>
          </w:p>
        </w:tc>
      </w:tr>
    </w:tbl>
    <w:p w14:paraId="50CEDA9C" w14:textId="77777777" w:rsidR="00D45DAC" w:rsidRPr="00F741D9" w:rsidRDefault="00D45DAC">
      <w:pPr>
        <w:rPr>
          <w:sz w:val="30"/>
          <w:szCs w:val="30"/>
          <w:lang w:val="en-US"/>
        </w:rPr>
      </w:pPr>
    </w:p>
    <w:tbl>
      <w:tblPr>
        <w:tblW w:w="5008" w:type="pct"/>
        <w:tblLayout w:type="fixed"/>
        <w:tblLook w:val="04A0" w:firstRow="1" w:lastRow="0" w:firstColumn="1" w:lastColumn="0" w:noHBand="0" w:noVBand="1"/>
      </w:tblPr>
      <w:tblGrid>
        <w:gridCol w:w="10014"/>
        <w:gridCol w:w="16"/>
      </w:tblGrid>
      <w:tr w:rsidR="00D45DAC" w:rsidRPr="00F741D9" w14:paraId="50CEDA9E" w14:textId="77777777" w:rsidTr="00347BDB">
        <w:trPr>
          <w:gridAfter w:val="1"/>
          <w:wAfter w:w="8" w:type="pct"/>
          <w:trHeight w:hRule="exact" w:val="480"/>
        </w:trPr>
        <w:tc>
          <w:tcPr>
            <w:tcW w:w="4992" w:type="pct"/>
            <w:shd w:val="clear" w:color="auto" w:fill="D04F7E"/>
            <w:vAlign w:val="center"/>
          </w:tcPr>
          <w:p w14:paraId="50CEDA9D" w14:textId="77777777" w:rsidR="00D45DAC" w:rsidRPr="00F741D9" w:rsidRDefault="00C167D2">
            <w:r>
              <w:rPr>
                <w:rFonts w:cs="Arial"/>
                <w:b/>
                <w:color w:val="FFFFFF"/>
                <w:sz w:val="24"/>
                <w:szCs w:val="24"/>
              </w:rPr>
              <w:t>Technické údaje</w:t>
            </w:r>
          </w:p>
        </w:tc>
      </w:tr>
      <w:tr w:rsidR="009E1590" w:rsidRPr="00F741D9" w14:paraId="50CEDAA0" w14:textId="77777777" w:rsidTr="00347BDB">
        <w:trPr>
          <w:gridAfter w:val="1"/>
          <w:wAfter w:w="8" w:type="pct"/>
          <w:trHeight w:hRule="exact" w:val="374"/>
        </w:trPr>
        <w:tc>
          <w:tcPr>
            <w:tcW w:w="4992" w:type="pct"/>
            <w:shd w:val="clear" w:color="auto" w:fill="FFFFFF" w:themeFill="background1"/>
            <w:vAlign w:val="center"/>
          </w:tcPr>
          <w:p w14:paraId="50CEDA9F" w14:textId="77777777" w:rsidR="009E1590" w:rsidRPr="00F741D9" w:rsidRDefault="009E1590">
            <w:pPr>
              <w:rPr>
                <w:rFonts w:cs="Arial"/>
                <w:b/>
                <w:color w:val="FFFFFF"/>
                <w:sz w:val="24"/>
                <w:szCs w:val="24"/>
              </w:rPr>
            </w:pPr>
          </w:p>
        </w:tc>
      </w:tr>
      <w:tr w:rsidR="00D45DAC" w:rsidRPr="00F741D9" w14:paraId="50CEDAAA" w14:textId="77777777" w:rsidTr="00347BDB">
        <w:trPr>
          <w:gridAfter w:val="1"/>
          <w:wAfter w:w="8" w:type="pct"/>
        </w:trPr>
        <w:tc>
          <w:tcPr>
            <w:tcW w:w="4992" w:type="pct"/>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00"/>
              <w:gridCol w:w="6600"/>
            </w:tblGrid>
            <w:tr w:rsidR="009E1590" w:rsidRPr="00F741D9" w14:paraId="50CEDAA4" w14:textId="77777777" w:rsidTr="00EB1DF7">
              <w:trPr>
                <w:trHeight w:val="68"/>
              </w:trPr>
              <w:tc>
                <w:tcPr>
                  <w:tcW w:w="3261" w:type="dxa"/>
                  <w:shd w:val="clear" w:color="auto" w:fill="FFFFFF" w:themeFill="background1"/>
                </w:tcPr>
                <w:p w14:paraId="50CEDAA1" w14:textId="77777777" w:rsidR="009E1590" w:rsidRPr="00F741D9" w:rsidRDefault="009E1590">
                  <w:pPr>
                    <w:rPr>
                      <w:rFonts w:cs="Arial"/>
                      <w:color w:val="000000"/>
                      <w:sz w:val="20"/>
                      <w:szCs w:val="20"/>
                    </w:rPr>
                  </w:pPr>
                </w:p>
              </w:tc>
              <w:tc>
                <w:tcPr>
                  <w:tcW w:w="236" w:type="dxa"/>
                  <w:shd w:val="clear" w:color="auto" w:fill="FFFFFF" w:themeFill="background1"/>
                </w:tcPr>
                <w:p w14:paraId="50CEDAA2" w14:textId="77777777" w:rsidR="009E1590" w:rsidRPr="00F741D9" w:rsidRDefault="009E1590"/>
              </w:tc>
              <w:tc>
                <w:tcPr>
                  <w:tcW w:w="6286" w:type="dxa"/>
                  <w:shd w:val="clear" w:color="auto" w:fill="FFFFFF" w:themeFill="background1"/>
                </w:tcPr>
                <w:p w14:paraId="50CEDAA3" w14:textId="77777777" w:rsidR="009E1590" w:rsidRPr="00F741D9" w:rsidRDefault="009E1590"/>
              </w:tc>
            </w:tr>
            <w:tr w:rsidR="00AF56A2" w14:paraId="3C219ABD" w14:textId="77777777">
              <w:tc>
                <w:tcPr>
                  <w:tcW w:w="3000" w:type="dxa"/>
                  <w:shd w:val="clear" w:color="auto" w:fill="FFFFFF"/>
                </w:tcPr>
                <w:p w14:paraId="5495FC37" w14:textId="77777777" w:rsidR="00AF56A2" w:rsidRDefault="009A2FB9">
                  <w:r>
                    <w:t>Obložitelný</w:t>
                  </w:r>
                </w:p>
              </w:tc>
              <w:tc>
                <w:tcPr>
                  <w:tcW w:w="300" w:type="dxa"/>
                  <w:tcBorders>
                    <w:right w:val="thick" w:sz="12" w:space="0" w:color="D04F7E"/>
                  </w:tcBorders>
                  <w:shd w:val="clear" w:color="auto" w:fill="FFFFFF"/>
                </w:tcPr>
                <w:p w14:paraId="18F9BF3F" w14:textId="77777777" w:rsidR="00AF56A2" w:rsidRDefault="00AF56A2"/>
              </w:tc>
              <w:tc>
                <w:tcPr>
                  <w:tcW w:w="6600" w:type="dxa"/>
                  <w:shd w:val="clear" w:color="auto" w:fill="FFFFFF"/>
                </w:tcPr>
                <w:p w14:paraId="402A91A1" w14:textId="77777777" w:rsidR="00AF56A2" w:rsidRDefault="009A2FB9">
                  <w:r>
                    <w:t>po cca 24 hodinách</w:t>
                  </w:r>
                </w:p>
              </w:tc>
            </w:tr>
            <w:tr w:rsidR="00AF56A2" w14:paraId="5D164028" w14:textId="77777777">
              <w:tc>
                <w:tcPr>
                  <w:tcW w:w="3000" w:type="dxa"/>
                  <w:shd w:val="clear" w:color="auto" w:fill="FFFFFF"/>
                </w:tcPr>
                <w:p w14:paraId="703A28E9" w14:textId="77777777" w:rsidR="00AF56A2" w:rsidRDefault="009A2FB9">
                  <w:r>
                    <w:t>Pevnost v tlaku</w:t>
                  </w:r>
                </w:p>
              </w:tc>
              <w:tc>
                <w:tcPr>
                  <w:tcW w:w="300" w:type="dxa"/>
                  <w:tcBorders>
                    <w:right w:val="thick" w:sz="12" w:space="0" w:color="D04F7E"/>
                  </w:tcBorders>
                  <w:shd w:val="clear" w:color="auto" w:fill="FFFFFF"/>
                </w:tcPr>
                <w:p w14:paraId="02407433" w14:textId="77777777" w:rsidR="00AF56A2" w:rsidRDefault="00AF56A2"/>
              </w:tc>
              <w:tc>
                <w:tcPr>
                  <w:tcW w:w="6600" w:type="dxa"/>
                  <w:shd w:val="clear" w:color="auto" w:fill="FFFFFF"/>
                </w:tcPr>
                <w:p w14:paraId="7DB67E3F" w14:textId="77777777" w:rsidR="00AF56A2" w:rsidRDefault="009A2FB9">
                  <w:r>
                    <w:t>(po 28 dnech)  cca 30 N/mm²</w:t>
                  </w:r>
                </w:p>
              </w:tc>
            </w:tr>
            <w:tr w:rsidR="00AF56A2" w14:paraId="3FD7D394" w14:textId="77777777">
              <w:tc>
                <w:tcPr>
                  <w:tcW w:w="3000" w:type="dxa"/>
                  <w:shd w:val="clear" w:color="auto" w:fill="FFFFFF"/>
                </w:tcPr>
                <w:p w14:paraId="39A82675" w14:textId="77777777" w:rsidR="00AF56A2" w:rsidRDefault="009A2FB9">
                  <w:r>
                    <w:t>Přídržnost</w:t>
                  </w:r>
                </w:p>
              </w:tc>
              <w:tc>
                <w:tcPr>
                  <w:tcW w:w="300" w:type="dxa"/>
                  <w:tcBorders>
                    <w:right w:val="thick" w:sz="12" w:space="0" w:color="D04F7E"/>
                  </w:tcBorders>
                  <w:shd w:val="clear" w:color="auto" w:fill="FFFFFF"/>
                </w:tcPr>
                <w:p w14:paraId="02D82DE0" w14:textId="77777777" w:rsidR="00AF56A2" w:rsidRDefault="00AF56A2"/>
              </w:tc>
              <w:tc>
                <w:tcPr>
                  <w:tcW w:w="6600" w:type="dxa"/>
                  <w:shd w:val="clear" w:color="auto" w:fill="FFFFFF"/>
                </w:tcPr>
                <w:p w14:paraId="3A6495E9" w14:textId="77777777" w:rsidR="00AF56A2" w:rsidRDefault="009A2FB9">
                  <w:r>
                    <w:t>(po 28 dnech)  cca 6 N/mm²</w:t>
                  </w:r>
                </w:p>
              </w:tc>
            </w:tr>
            <w:tr w:rsidR="00AF56A2" w14:paraId="6EC6A9FD" w14:textId="77777777">
              <w:tc>
                <w:tcPr>
                  <w:tcW w:w="3000" w:type="dxa"/>
                  <w:shd w:val="clear" w:color="auto" w:fill="FFFFFF"/>
                </w:tcPr>
                <w:p w14:paraId="55DCADA1" w14:textId="77777777" w:rsidR="00AF56A2" w:rsidRDefault="009A2FB9">
                  <w:r>
                    <w:t>Největší zrnitost</w:t>
                  </w:r>
                </w:p>
              </w:tc>
              <w:tc>
                <w:tcPr>
                  <w:tcW w:w="300" w:type="dxa"/>
                  <w:tcBorders>
                    <w:right w:val="thick" w:sz="12" w:space="0" w:color="D04F7E"/>
                  </w:tcBorders>
                  <w:shd w:val="clear" w:color="auto" w:fill="FFFFFF"/>
                </w:tcPr>
                <w:p w14:paraId="0DFDE3AA" w14:textId="77777777" w:rsidR="00AF56A2" w:rsidRDefault="00AF56A2"/>
              </w:tc>
              <w:tc>
                <w:tcPr>
                  <w:tcW w:w="6600" w:type="dxa"/>
                  <w:shd w:val="clear" w:color="auto" w:fill="FFFFFF"/>
                </w:tcPr>
                <w:p w14:paraId="6013B2FE" w14:textId="77777777" w:rsidR="00AF56A2" w:rsidRDefault="009A2FB9">
                  <w:r>
                    <w:t>4 - 8 mm</w:t>
                  </w:r>
                </w:p>
              </w:tc>
            </w:tr>
            <w:tr w:rsidR="00AF56A2" w14:paraId="2C2D60E7" w14:textId="77777777">
              <w:tc>
                <w:tcPr>
                  <w:tcW w:w="3000" w:type="dxa"/>
                  <w:shd w:val="clear" w:color="auto" w:fill="FFFFFF"/>
                </w:tcPr>
                <w:p w14:paraId="56744871" w14:textId="77777777" w:rsidR="00AF56A2" w:rsidRDefault="009A2FB9">
                  <w:r>
                    <w:t>Spotřeba</w:t>
                  </w:r>
                </w:p>
              </w:tc>
              <w:tc>
                <w:tcPr>
                  <w:tcW w:w="300" w:type="dxa"/>
                  <w:tcBorders>
                    <w:right w:val="thick" w:sz="12" w:space="0" w:color="D04F7E"/>
                  </w:tcBorders>
                  <w:shd w:val="clear" w:color="auto" w:fill="FFFFFF"/>
                </w:tcPr>
                <w:p w14:paraId="460C08DE" w14:textId="77777777" w:rsidR="00AF56A2" w:rsidRDefault="00AF56A2"/>
              </w:tc>
              <w:tc>
                <w:tcPr>
                  <w:tcW w:w="6600" w:type="dxa"/>
                  <w:shd w:val="clear" w:color="auto" w:fill="FFFFFF"/>
                </w:tcPr>
                <w:p w14:paraId="56BD031D" w14:textId="77777777" w:rsidR="00AF56A2" w:rsidRDefault="009A2FB9">
                  <w:r>
                    <w:t>​cca 20 kg/m²/cm</w:t>
                  </w:r>
                </w:p>
              </w:tc>
            </w:tr>
            <w:tr w:rsidR="00AF56A2" w14:paraId="671AFFEF" w14:textId="77777777">
              <w:tc>
                <w:tcPr>
                  <w:tcW w:w="3000" w:type="dxa"/>
                  <w:shd w:val="clear" w:color="auto" w:fill="FFFFFF"/>
                </w:tcPr>
                <w:p w14:paraId="63EB50F0" w14:textId="77777777" w:rsidR="00AF56A2" w:rsidRDefault="009A2FB9">
                  <w:r>
                    <w:t>Pochozí</w:t>
                  </w:r>
                </w:p>
              </w:tc>
              <w:tc>
                <w:tcPr>
                  <w:tcW w:w="300" w:type="dxa"/>
                  <w:tcBorders>
                    <w:right w:val="thick" w:sz="12" w:space="0" w:color="D04F7E"/>
                  </w:tcBorders>
                  <w:shd w:val="clear" w:color="auto" w:fill="FFFFFF"/>
                </w:tcPr>
                <w:p w14:paraId="558CEAEB" w14:textId="77777777" w:rsidR="00AF56A2" w:rsidRDefault="00AF56A2"/>
              </w:tc>
              <w:tc>
                <w:tcPr>
                  <w:tcW w:w="6600" w:type="dxa"/>
                  <w:shd w:val="clear" w:color="auto" w:fill="FFFFFF"/>
                </w:tcPr>
                <w:p w14:paraId="1A1D0A25" w14:textId="77777777" w:rsidR="00AF56A2" w:rsidRDefault="009A2FB9">
                  <w:r>
                    <w:t>po cca 18 hodinách</w:t>
                  </w:r>
                </w:p>
              </w:tc>
            </w:tr>
            <w:tr w:rsidR="00AF56A2" w14:paraId="70C0C651" w14:textId="77777777">
              <w:tc>
                <w:tcPr>
                  <w:tcW w:w="3000" w:type="dxa"/>
                  <w:shd w:val="clear" w:color="auto" w:fill="FFFFFF"/>
                </w:tcPr>
                <w:p w14:paraId="11D97381" w14:textId="77777777" w:rsidR="00AF56A2" w:rsidRDefault="009A2FB9">
                  <w:r>
                    <w:t>Doba zpracování</w:t>
                  </w:r>
                </w:p>
              </w:tc>
              <w:tc>
                <w:tcPr>
                  <w:tcW w:w="300" w:type="dxa"/>
                  <w:tcBorders>
                    <w:right w:val="thick" w:sz="12" w:space="0" w:color="D04F7E"/>
                  </w:tcBorders>
                  <w:shd w:val="clear" w:color="auto" w:fill="FFFFFF"/>
                </w:tcPr>
                <w:p w14:paraId="5E30E31E" w14:textId="77777777" w:rsidR="00AF56A2" w:rsidRDefault="00AF56A2"/>
              </w:tc>
              <w:tc>
                <w:tcPr>
                  <w:tcW w:w="6600" w:type="dxa"/>
                  <w:shd w:val="clear" w:color="auto" w:fill="FFFFFF"/>
                </w:tcPr>
                <w:p w14:paraId="1485EC23" w14:textId="77777777" w:rsidR="00AF56A2" w:rsidRDefault="009A2FB9">
                  <w:r>
                    <w:t>cca 45 minut</w:t>
                  </w:r>
                </w:p>
              </w:tc>
            </w:tr>
            <w:tr w:rsidR="00AF56A2" w14:paraId="00A72086" w14:textId="77777777">
              <w:tc>
                <w:tcPr>
                  <w:tcW w:w="3000" w:type="dxa"/>
                  <w:shd w:val="clear" w:color="auto" w:fill="FFFFFF"/>
                </w:tcPr>
                <w:p w14:paraId="2E84F5D5" w14:textId="77777777" w:rsidR="00AF56A2" w:rsidRDefault="009A2FB9">
                  <w:r>
                    <w:t>Potřeba vody</w:t>
                  </w:r>
                </w:p>
              </w:tc>
              <w:tc>
                <w:tcPr>
                  <w:tcW w:w="300" w:type="dxa"/>
                  <w:tcBorders>
                    <w:right w:val="thick" w:sz="12" w:space="0" w:color="D04F7E"/>
                  </w:tcBorders>
                  <w:shd w:val="clear" w:color="auto" w:fill="FFFFFF"/>
                </w:tcPr>
                <w:p w14:paraId="3DD7AF24" w14:textId="77777777" w:rsidR="00AF56A2" w:rsidRDefault="00AF56A2"/>
              </w:tc>
              <w:tc>
                <w:tcPr>
                  <w:tcW w:w="6600" w:type="dxa"/>
                  <w:shd w:val="clear" w:color="auto" w:fill="FFFFFF"/>
                </w:tcPr>
                <w:p w14:paraId="1666CBDA" w14:textId="77777777" w:rsidR="00AF56A2" w:rsidRDefault="009A2FB9">
                  <w:r>
                    <w:t>2 l / 25 kg</w:t>
                  </w:r>
                </w:p>
              </w:tc>
            </w:tr>
            <w:tr w:rsidR="00AF56A2" w14:paraId="0ECCF04B" w14:textId="77777777">
              <w:tc>
                <w:tcPr>
                  <w:tcW w:w="3000" w:type="dxa"/>
                  <w:shd w:val="clear" w:color="auto" w:fill="FFFFFF"/>
                </w:tcPr>
                <w:p w14:paraId="26975C3E" w14:textId="77777777" w:rsidR="00AF56A2" w:rsidRDefault="009A2FB9">
                  <w:r>
                    <w:t>Vlhkost CM</w:t>
                  </w:r>
                </w:p>
              </w:tc>
              <w:tc>
                <w:tcPr>
                  <w:tcW w:w="300" w:type="dxa"/>
                  <w:tcBorders>
                    <w:right w:val="thick" w:sz="12" w:space="0" w:color="D04F7E"/>
                  </w:tcBorders>
                  <w:shd w:val="clear" w:color="auto" w:fill="FFFFFF"/>
                </w:tcPr>
                <w:p w14:paraId="17BA8CC5" w14:textId="77777777" w:rsidR="00AF56A2" w:rsidRDefault="00AF56A2"/>
              </w:tc>
              <w:tc>
                <w:tcPr>
                  <w:tcW w:w="6600" w:type="dxa"/>
                  <w:shd w:val="clear" w:color="auto" w:fill="FFFFFF"/>
                </w:tcPr>
                <w:p w14:paraId="6AB7232A" w14:textId="1FF4DCDD" w:rsidR="00AF56A2" w:rsidRDefault="009A2FB9">
                  <w:r>
                    <w:t>Při normálních klimatických podmínkách dosahuje po 24 hodinách od pokládky potěr v tloušťce 5cm vlhkost menší než 2%CM.</w:t>
                  </w:r>
                </w:p>
              </w:tc>
            </w:tr>
          </w:tbl>
          <w:p w14:paraId="50CEDAA9" w14:textId="77777777" w:rsidR="00D45DAC" w:rsidRPr="00F741D9" w:rsidRDefault="00D45DAC"/>
        </w:tc>
      </w:tr>
      <w:tr w:rsidR="00D45DAC" w:rsidRPr="00F741D9" w14:paraId="50CEDAAC" w14:textId="77777777" w:rsidTr="00347BDB">
        <w:trPr>
          <w:gridAfter w:val="1"/>
          <w:wAfter w:w="8" w:type="pct"/>
        </w:trPr>
        <w:tc>
          <w:tcPr>
            <w:tcW w:w="4992" w:type="pct"/>
            <w:shd w:val="clear" w:color="auto" w:fill="FFFFFF" w:themeFill="background1"/>
          </w:tcPr>
          <w:p w14:paraId="50CEDAAB" w14:textId="77777777" w:rsidR="00D45DAC" w:rsidRPr="00F741D9" w:rsidRDefault="00D45DAC"/>
        </w:tc>
      </w:tr>
      <w:tr w:rsidR="00C35559" w:rsidRPr="00F741D9" w14:paraId="50CEDAAE" w14:textId="77777777" w:rsidTr="00347BDB">
        <w:trPr>
          <w:gridAfter w:val="1"/>
          <w:wAfter w:w="8" w:type="pct"/>
          <w:trHeight w:hRule="exact" w:val="480"/>
        </w:trPr>
        <w:tc>
          <w:tcPr>
            <w:tcW w:w="4992" w:type="pct"/>
            <w:shd w:val="clear" w:color="auto" w:fill="D04F7E"/>
            <w:vAlign w:val="center"/>
          </w:tcPr>
          <w:p w14:paraId="50CEDAAD" w14:textId="77777777" w:rsidR="00C35559" w:rsidRPr="00F741D9" w:rsidRDefault="00C35559" w:rsidP="0033276B">
            <w:r>
              <w:rPr>
                <w:rFonts w:cs="Arial"/>
                <w:b/>
                <w:color w:val="FFFFFF"/>
                <w:sz w:val="24"/>
                <w:szCs w:val="24"/>
              </w:rPr>
              <w:t>Osvědčení</w:t>
            </w:r>
          </w:p>
        </w:tc>
      </w:tr>
      <w:tr w:rsidR="00C35559" w:rsidRPr="00A911FC" w14:paraId="50CEDAB0" w14:textId="77777777" w:rsidTr="00347BDB">
        <w:trPr>
          <w:gridAfter w:val="1"/>
          <w:wAfter w:w="8" w:type="pct"/>
        </w:trPr>
        <w:tc>
          <w:tcPr>
            <w:tcW w:w="4992" w:type="pct"/>
            <w:shd w:val="clear" w:color="auto" w:fill="FFFFFF" w:themeFill="background1"/>
          </w:tcPr>
          <w:p w14:paraId="50CEDAAF" w14:textId="6480F18F" w:rsidR="00C35559" w:rsidRPr="00347BDB" w:rsidRDefault="00A911FC" w:rsidP="009A2FB9">
            <w:pPr>
              <w:rPr>
                <w:lang w:val="de-AT"/>
              </w:rPr>
            </w:pPr>
            <w:r w:rsidRPr="00347BDB">
              <w:rPr>
                <w:rFonts w:cs="Arial"/>
                <w:b/>
                <w:color w:val="000000"/>
                <w:sz w:val="20"/>
                <w:szCs w:val="20"/>
                <w:lang w:val="de-AT"/>
              </w:rPr>
              <w:br/>
            </w:r>
            <w:r>
              <w:rPr>
                <w:rFonts w:cs="Arial"/>
                <w:b/>
                <w:color w:val="000000"/>
                <w:sz w:val="20"/>
                <w:szCs w:val="20"/>
                <w:lang w:val="de-AT"/>
              </w:rPr>
              <w:t>Přezkoušeno podle (norma, klasifikace ...)</w:t>
            </w:r>
            <w:r w:rsidR="00C35559" w:rsidRPr="00347BDB">
              <w:rPr>
                <w:lang w:val="de-AT"/>
              </w:rPr>
              <w:br/>
            </w:r>
            <w:r>
              <w:rPr>
                <w:lang w:val="de-AT"/>
              </w:rPr>
              <w:t>EN 13813</w:t>
            </w:r>
            <w:r>
              <w:rPr>
                <w:lang w:val="de-AT"/>
              </w:rPr>
              <w:br/>
              <w:t>ÖNORM B 2232</w:t>
            </w:r>
            <w:r>
              <w:rPr>
                <w:lang w:val="de-AT"/>
              </w:rPr>
              <w:br/>
              <w:t>ÖNORM B 3330</w:t>
            </w:r>
          </w:p>
        </w:tc>
      </w:tr>
      <w:tr w:rsidR="00C35559" w:rsidRPr="00A911FC" w14:paraId="50CEDAB2" w14:textId="77777777" w:rsidTr="00347BDB">
        <w:trPr>
          <w:gridAfter w:val="1"/>
          <w:wAfter w:w="8" w:type="pct"/>
        </w:trPr>
        <w:tc>
          <w:tcPr>
            <w:tcW w:w="4992" w:type="pct"/>
            <w:shd w:val="clear" w:color="auto" w:fill="FFFFFF" w:themeFill="background1"/>
          </w:tcPr>
          <w:p w14:paraId="50CEDAB1" w14:textId="77777777" w:rsidR="00C35559" w:rsidRPr="00347BDB" w:rsidRDefault="00C35559">
            <w:pPr>
              <w:rPr>
                <w:lang w:val="de-AT"/>
              </w:rPr>
            </w:pPr>
          </w:p>
        </w:tc>
      </w:tr>
      <w:tr w:rsidR="00D45DAC" w:rsidRPr="00A911FC" w14:paraId="50CEDAB4" w14:textId="77777777" w:rsidTr="00347BDB">
        <w:trPr>
          <w:gridAfter w:val="1"/>
          <w:wAfter w:w="8" w:type="pct"/>
          <w:trHeight w:hRule="exact" w:val="480"/>
        </w:trPr>
        <w:tc>
          <w:tcPr>
            <w:tcW w:w="4992" w:type="pct"/>
            <w:shd w:val="clear" w:color="auto" w:fill="D04F7E"/>
            <w:vAlign w:val="center"/>
          </w:tcPr>
          <w:p w14:paraId="50CEDAB3" w14:textId="77777777" w:rsidR="00D45DAC" w:rsidRPr="00C35559" w:rsidRDefault="000B3EC1">
            <w:pPr>
              <w:rPr>
                <w:lang w:val="en-US"/>
              </w:rPr>
            </w:pPr>
            <w:r>
              <w:rPr>
                <w:rFonts w:cs="Arial"/>
                <w:b/>
                <w:color w:val="FFFFFF"/>
                <w:sz w:val="24"/>
                <w:szCs w:val="24"/>
                <w:lang w:val="en-US"/>
              </w:rPr>
              <w:t>Podklad</w:t>
            </w:r>
          </w:p>
        </w:tc>
      </w:tr>
      <w:tr w:rsidR="00D45DAC" w:rsidRPr="003A6C79" w14:paraId="50CEDAB7" w14:textId="77777777" w:rsidTr="00347BDB">
        <w:trPr>
          <w:gridAfter w:val="1"/>
          <w:wAfter w:w="8" w:type="pct"/>
        </w:trPr>
        <w:tc>
          <w:tcPr>
            <w:tcW w:w="4992" w:type="pct"/>
          </w:tcPr>
          <w:p w14:paraId="50CEDAB5" w14:textId="77777777" w:rsidR="00D45DAC" w:rsidRPr="00F741D9" w:rsidRDefault="00124178">
            <w:pPr>
              <w:rPr>
                <w:lang w:val="en-US"/>
              </w:rPr>
            </w:pPr>
            <w:r w:rsidRPr="00F741D9">
              <w:rPr>
                <w:lang w:val="en-US"/>
              </w:rPr>
              <w:br/>
            </w:r>
            <w:r>
              <w:rPr>
                <w:rFonts w:cs="Arial"/>
                <w:b/>
                <w:color w:val="000000"/>
                <w:sz w:val="20"/>
                <w:szCs w:val="20"/>
                <w:lang w:val="en-US"/>
              </w:rPr>
              <w:t>Vhodné podklady:</w:t>
            </w:r>
            <w:r w:rsidRPr="00F741D9">
              <w:rPr>
                <w:rFonts w:cs="Arial"/>
                <w:b/>
                <w:color w:val="000000"/>
                <w:sz w:val="20"/>
                <w:szCs w:val="20"/>
                <w:lang w:val="en-US"/>
              </w:rPr>
              <w:t xml:space="preserve"> </w:t>
            </w:r>
            <w:r w:rsidRPr="00F741D9">
              <w:rPr>
                <w:lang w:val="en-US"/>
              </w:rPr>
              <w:br/>
            </w:r>
            <w:r>
              <w:rPr>
                <w:lang w:val="en-US"/>
              </w:rPr>
              <w:t>Beton</w:t>
            </w:r>
            <w:r>
              <w:rPr>
                <w:lang w:val="en-US"/>
              </w:rPr>
              <w:br/>
              <w:t>Cementový potěr</w:t>
            </w:r>
            <w:r>
              <w:rPr>
                <w:lang w:val="en-US"/>
              </w:rPr>
              <w:br/>
              <w:t>Anhydritový potěr</w:t>
            </w:r>
            <w:r>
              <w:rPr>
                <w:lang w:val="en-US"/>
              </w:rPr>
              <w:br/>
              <w:t>Litý asfalt</w:t>
            </w:r>
            <w:r>
              <w:rPr>
                <w:lang w:val="en-US"/>
              </w:rPr>
              <w:br/>
              <w:t>Sádrové omítky</w:t>
            </w:r>
            <w:r>
              <w:rPr>
                <w:lang w:val="en-US"/>
              </w:rPr>
              <w:br/>
              <w:t>Vápenocementové omítky</w:t>
            </w:r>
            <w:r>
              <w:rPr>
                <w:lang w:val="en-US"/>
              </w:rPr>
              <w:br/>
              <w:t>Zdivo</w:t>
            </w:r>
            <w:r>
              <w:rPr>
                <w:lang w:val="en-US"/>
              </w:rPr>
              <w:br/>
              <w:t>Konstrukční a SDK desky</w:t>
            </w:r>
            <w:r>
              <w:rPr>
                <w:lang w:val="en-US"/>
              </w:rPr>
              <w:br/>
              <w:t>Pohledový beton</w:t>
            </w:r>
            <w:r>
              <w:rPr>
                <w:lang w:val="en-US"/>
              </w:rPr>
              <w:br/>
              <w:t>Pórobeton</w:t>
            </w:r>
            <w:r>
              <w:rPr>
                <w:lang w:val="en-US"/>
              </w:rPr>
              <w:br/>
              <w:t xml:space="preserve"> </w:t>
            </w:r>
            <w:r>
              <w:rPr>
                <w:lang w:val="en-US"/>
              </w:rPr>
              <w:br/>
              <w:t>Nevhodné použití na dřevo, kov a plasty.</w:t>
            </w:r>
            <w:r>
              <w:rPr>
                <w:lang w:val="en-US"/>
              </w:rPr>
              <w:br/>
            </w:r>
            <w:r>
              <w:rPr>
                <w:lang w:val="en-US"/>
              </w:rPr>
              <w:br/>
              <w:t>Podklad musí být suchý, nosný, tvarově stabilní, zbavený prachu, nečistot, grotů, olejů, mastnot, tuků, všech separačních vrstev a volných částic. Podklad musí odpovídat požadavkům platných norem a nařízení.</w:t>
            </w:r>
            <w:r>
              <w:rPr>
                <w:lang w:val="en-US"/>
              </w:rPr>
              <w:br/>
            </w:r>
            <w:r w:rsidRPr="00F741D9">
              <w:rPr>
                <w:lang w:val="en-US"/>
              </w:rPr>
              <w:br/>
            </w:r>
            <w:r w:rsidRPr="00F741D9">
              <w:rPr>
                <w:lang w:val="en-US"/>
              </w:rPr>
              <w:br/>
            </w:r>
            <w:r>
              <w:rPr>
                <w:rFonts w:cs="Arial"/>
                <w:b/>
                <w:color w:val="000000"/>
                <w:sz w:val="20"/>
                <w:szCs w:val="20"/>
                <w:lang w:val="en-US"/>
              </w:rPr>
              <w:t>Vhodné ošetření podkladu:</w:t>
            </w:r>
            <w:r w:rsidRPr="00F741D9">
              <w:rPr>
                <w:rFonts w:cs="Arial"/>
                <w:b/>
                <w:color w:val="000000"/>
                <w:sz w:val="20"/>
                <w:szCs w:val="20"/>
                <w:lang w:val="en-US"/>
              </w:rPr>
              <w:t xml:space="preserve"> </w:t>
            </w:r>
            <w:r w:rsidRPr="00F741D9">
              <w:rPr>
                <w:lang w:val="en-US"/>
              </w:rPr>
              <w:br/>
            </w:r>
            <w:r>
              <w:rPr>
                <w:lang w:val="en-US"/>
              </w:rPr>
              <w:t>Podklad musí být suchý, nosný, tvarově stabilní, zbavený prachu, nečistot, grotů, olejů, mastnot, tuků, všech separačních vrstev a volných částic. Podklad musí odpovídat požadavkům platných norem a nařízení.</w:t>
            </w:r>
            <w:r>
              <w:rPr>
                <w:lang w:val="en-US"/>
              </w:rPr>
              <w:br/>
              <w:t>Ověřte pevnost a rovinnost podkladu, zbytková vlhkost musí odpovídat platným normám.</w:t>
            </w:r>
            <w:r>
              <w:rPr>
                <w:lang w:val="en-US"/>
              </w:rPr>
              <w:br/>
            </w:r>
            <w:r>
              <w:rPr>
                <w:lang w:val="en-US"/>
              </w:rPr>
              <w:br/>
            </w:r>
            <w:r>
              <w:rPr>
                <w:lang w:val="en-US"/>
              </w:rPr>
              <w:lastRenderedPageBreak/>
              <w:t>Spřažený potěr:</w:t>
            </w:r>
            <w:r>
              <w:rPr>
                <w:lang w:val="en-US"/>
              </w:rPr>
              <w:br/>
              <w:t>Podklad musí být čistý, bez cementových šlemů a sintrů. Nesmí pískovat. Před aplikací doporučujeme podklad přebrousit, vysát a napenetrovat.</w:t>
            </w:r>
          </w:p>
          <w:p w14:paraId="50CEDAB6" w14:textId="77777777" w:rsidR="00D45DAC" w:rsidRPr="00F741D9" w:rsidRDefault="00D45DAC">
            <w:pPr>
              <w:rPr>
                <w:lang w:val="en-US"/>
              </w:rPr>
            </w:pPr>
          </w:p>
        </w:tc>
      </w:tr>
      <w:tr w:rsidR="00D45DAC" w:rsidRPr="00F741D9" w14:paraId="50CEDAB9" w14:textId="77777777" w:rsidTr="00347BDB">
        <w:trPr>
          <w:trHeight w:hRule="exact" w:val="480"/>
        </w:trPr>
        <w:tc>
          <w:tcPr>
            <w:tcW w:w="5000" w:type="pct"/>
            <w:gridSpan w:val="2"/>
            <w:shd w:val="clear" w:color="auto" w:fill="D04F7E"/>
            <w:vAlign w:val="center"/>
          </w:tcPr>
          <w:p w14:paraId="50CEDAB8" w14:textId="77777777" w:rsidR="00D45DAC" w:rsidRPr="00F741D9" w:rsidRDefault="000B3EC1" w:rsidP="00347BDB">
            <w:pPr>
              <w:ind w:right="-988"/>
            </w:pPr>
            <w:r>
              <w:rPr>
                <w:rFonts w:cs="Arial"/>
                <w:b/>
                <w:color w:val="FFFFFF"/>
                <w:sz w:val="24"/>
                <w:szCs w:val="24"/>
              </w:rPr>
              <w:lastRenderedPageBreak/>
              <w:t>Pro perfektní systém</w:t>
            </w:r>
          </w:p>
        </w:tc>
      </w:tr>
      <w:tr w:rsidR="00D45DAC" w:rsidRPr="003A6C79" w14:paraId="50CEDABF" w14:textId="77777777" w:rsidTr="00347BDB">
        <w:tc>
          <w:tcPr>
            <w:tcW w:w="5000" w:type="pct"/>
            <w:gridSpan w:val="2"/>
          </w:tcPr>
          <w:p w14:paraId="50CEDABA" w14:textId="77777777" w:rsidR="009E1590" w:rsidRPr="00F741D9" w:rsidRDefault="009E1590" w:rsidP="00DE79A7">
            <w:pPr>
              <w:rPr>
                <w:rFonts w:cs="Arial"/>
                <w:b/>
                <w:color w:val="000000"/>
                <w:sz w:val="20"/>
                <w:szCs w:val="20"/>
                <w:lang w:val="en-US"/>
              </w:rPr>
            </w:pPr>
          </w:p>
          <w:p w14:paraId="50CEDABB" w14:textId="48E11271" w:rsidR="00DE79A7" w:rsidRPr="00F741D9" w:rsidRDefault="00B8080E" w:rsidP="00DE79A7">
            <w:pPr>
              <w:rPr>
                <w:lang w:val="en-US"/>
              </w:rPr>
            </w:pPr>
            <w:r>
              <w:rPr>
                <w:lang w:val="en-US"/>
              </w:rPr>
              <w:t>Repol Adhézní povlak HS 1</w:t>
            </w:r>
          </w:p>
          <w:p w14:paraId="50CEDABE" w14:textId="28CF29FF" w:rsidR="00D45DAC" w:rsidRPr="00F741D9" w:rsidRDefault="00D45DAC" w:rsidP="00DE79A7">
            <w:pPr>
              <w:rPr>
                <w:lang w:val="en-US"/>
              </w:rPr>
            </w:pPr>
          </w:p>
        </w:tc>
      </w:tr>
      <w:tr w:rsidR="00874092" w:rsidRPr="00F741D9" w14:paraId="50CEDAC1" w14:textId="77777777" w:rsidTr="00347BDB">
        <w:trPr>
          <w:trHeight w:hRule="exact" w:val="480"/>
        </w:trPr>
        <w:tc>
          <w:tcPr>
            <w:tcW w:w="5000" w:type="pct"/>
            <w:gridSpan w:val="2"/>
            <w:shd w:val="clear" w:color="auto" w:fill="D04F7E"/>
            <w:vAlign w:val="center"/>
          </w:tcPr>
          <w:p w14:paraId="50CEDAC0" w14:textId="77777777" w:rsidR="00874092" w:rsidRPr="00F741D9" w:rsidRDefault="00154589" w:rsidP="002C6587">
            <w:r>
              <w:rPr>
                <w:rFonts w:cs="Arial"/>
                <w:b/>
                <w:color w:val="FFFFFF"/>
                <w:sz w:val="24"/>
                <w:szCs w:val="24"/>
              </w:rPr>
              <w:t>Pokyny pro produkt a zpracování</w:t>
            </w:r>
          </w:p>
        </w:tc>
      </w:tr>
      <w:tr w:rsidR="00874092" w:rsidRPr="00874092" w14:paraId="50CEDAC5" w14:textId="77777777" w:rsidTr="00347BDB">
        <w:tc>
          <w:tcPr>
            <w:tcW w:w="5000" w:type="pct"/>
            <w:gridSpan w:val="2"/>
          </w:tcPr>
          <w:p w14:paraId="50CEDAC2" w14:textId="77777777" w:rsidR="00874092" w:rsidRPr="00874092" w:rsidRDefault="00874092" w:rsidP="00DE79A7">
            <w:pPr>
              <w:rPr>
                <w:rFonts w:cs="Arial"/>
                <w:color w:val="000000"/>
                <w:sz w:val="16"/>
                <w:szCs w:val="16"/>
                <w:lang w:val="en-US"/>
              </w:rPr>
            </w:pPr>
          </w:p>
          <w:p w14:paraId="50CEDAC3" w14:textId="77777777" w:rsidR="00874092" w:rsidRPr="00874092" w:rsidRDefault="00C17A06" w:rsidP="00DE79A7">
            <w:pPr>
              <w:rPr>
                <w:rFonts w:cs="Arial"/>
                <w:color w:val="000000"/>
                <w:sz w:val="16"/>
                <w:szCs w:val="16"/>
                <w:lang w:val="en-US"/>
              </w:rPr>
            </w:pPr>
            <w:r>
              <w:rPr>
                <w:rFonts w:cs="Arial"/>
                <w:color w:val="000000"/>
                <w:sz w:val="16"/>
                <w:szCs w:val="16"/>
                <w:lang w:val="en-US"/>
              </w:rPr>
              <w:t>Poznámky k produktu:</w:t>
            </w:r>
            <w:r>
              <w:rPr>
                <w:rFonts w:cs="Arial"/>
                <w:color w:val="000000"/>
                <w:sz w:val="16"/>
                <w:szCs w:val="16"/>
                <w:lang w:val="en-US"/>
              </w:rPr>
              <w:br/>
              <w:t>- Při aplikaci mimo doporučené teploty a vlhkosti vzduchu se mohou vlastnosti produktu významně lišit od deklarovaných hodnot.</w:t>
            </w:r>
            <w:r>
              <w:rPr>
                <w:rFonts w:cs="Arial"/>
                <w:color w:val="000000"/>
                <w:sz w:val="16"/>
                <w:szCs w:val="16"/>
                <w:lang w:val="en-US"/>
              </w:rPr>
              <w:br/>
              <w:t>- Produkt před zpracováním řádně temperujte.</w:t>
            </w:r>
            <w:r>
              <w:rPr>
                <w:rFonts w:cs="Arial"/>
                <w:color w:val="000000"/>
                <w:sz w:val="16"/>
                <w:szCs w:val="16"/>
                <w:lang w:val="en-US"/>
              </w:rPr>
              <w:br/>
              <w:t>- Není dovoleno přimíchávat další složky/ příměsi.</w:t>
            </w:r>
            <w:r>
              <w:rPr>
                <w:rFonts w:cs="Arial"/>
                <w:color w:val="000000"/>
                <w:sz w:val="16"/>
                <w:szCs w:val="16"/>
                <w:lang w:val="en-US"/>
              </w:rPr>
              <w:br/>
              <w:t>- Stupeň ředění/ míchání je třeba přesně dodržovat.</w:t>
            </w:r>
            <w:r>
              <w:rPr>
                <w:rFonts w:cs="Arial"/>
                <w:color w:val="000000"/>
                <w:sz w:val="16"/>
                <w:szCs w:val="16"/>
                <w:lang w:val="en-US"/>
              </w:rPr>
              <w:br/>
              <w:t>- U probarvených produktů před aplikací zkontrolujte vzájemnou barevnou shodu.</w:t>
            </w:r>
            <w:r>
              <w:rPr>
                <w:rFonts w:cs="Arial"/>
                <w:color w:val="000000"/>
                <w:sz w:val="16"/>
                <w:szCs w:val="16"/>
                <w:lang w:val="en-US"/>
              </w:rPr>
              <w:br/>
              <w:t>- Naprostou barevnou shodu lze zaručit pouze v rámci stejné výrobní šarže.</w:t>
            </w:r>
            <w:r>
              <w:rPr>
                <w:rFonts w:cs="Arial"/>
                <w:color w:val="000000"/>
                <w:sz w:val="16"/>
                <w:szCs w:val="16"/>
                <w:lang w:val="en-US"/>
              </w:rPr>
              <w:br/>
              <w:t>- Výsledný barevný odstín může být významně ovlivněn okolními vlivy (stín, lom světla, barevnost sousedních ploch).</w:t>
            </w:r>
            <w:r>
              <w:rPr>
                <w:rFonts w:cs="Arial"/>
                <w:color w:val="000000"/>
                <w:sz w:val="16"/>
                <w:szCs w:val="16"/>
                <w:lang w:val="en-US"/>
              </w:rPr>
              <w:br/>
            </w:r>
            <w:r>
              <w:rPr>
                <w:rFonts w:cs="Arial"/>
                <w:color w:val="000000"/>
                <w:sz w:val="16"/>
                <w:szCs w:val="16"/>
                <w:lang w:val="en-US"/>
              </w:rPr>
              <w:br/>
              <w:t>Poznámky k prostředí:</w:t>
            </w:r>
            <w:r>
              <w:rPr>
                <w:rFonts w:cs="Arial"/>
                <w:color w:val="000000"/>
                <w:sz w:val="16"/>
                <w:szCs w:val="16"/>
                <w:lang w:val="en-US"/>
              </w:rPr>
              <w:br/>
              <w:t>- Nezpracovávat při teplotě nižší než +5°C.</w:t>
            </w:r>
            <w:r>
              <w:rPr>
                <w:rFonts w:cs="Arial"/>
                <w:color w:val="000000"/>
                <w:sz w:val="16"/>
                <w:szCs w:val="16"/>
                <w:lang w:val="en-US"/>
              </w:rPr>
              <w:br/>
              <w:t>- Optimální teplota podkladu, vzduchu a zpracovávaného materiálu by měla být +15°C až +25°C.</w:t>
            </w:r>
            <w:r>
              <w:rPr>
                <w:rFonts w:cs="Arial"/>
                <w:color w:val="000000"/>
                <w:sz w:val="16"/>
                <w:szCs w:val="16"/>
                <w:lang w:val="en-US"/>
              </w:rPr>
              <w:br/>
              <w:t>- Optimální relativní vzdušná vlhkost by měla být v rozmezí 40% - 60%.</w:t>
            </w:r>
            <w:r>
              <w:rPr>
                <w:rFonts w:cs="Arial"/>
                <w:color w:val="000000"/>
                <w:sz w:val="16"/>
                <w:szCs w:val="16"/>
                <w:lang w:val="en-US"/>
              </w:rPr>
              <w:br/>
              <w:t>- Vyšší teploty a nižší vlhkosti vzduchu tuhnutí urychlují, opačné pak prodlužují.</w:t>
            </w:r>
            <w:r>
              <w:rPr>
                <w:rFonts w:cs="Arial"/>
                <w:color w:val="000000"/>
                <w:sz w:val="16"/>
                <w:szCs w:val="16"/>
                <w:lang w:val="en-US"/>
              </w:rPr>
              <w:br/>
              <w:t>- Během tuhnutí a schnutí zajistěte řádné větrání. Zabraňte průvanu!</w:t>
            </w:r>
            <w:r>
              <w:rPr>
                <w:rFonts w:cs="Arial"/>
                <w:color w:val="000000"/>
                <w:sz w:val="16"/>
                <w:szCs w:val="16"/>
                <w:lang w:val="en-US"/>
              </w:rPr>
              <w:br/>
              <w:t>- Během tuhnutí chraňte před přímým slunečním osvitem, větrem a deštěm.</w:t>
            </w:r>
            <w:r>
              <w:rPr>
                <w:rFonts w:cs="Arial"/>
                <w:color w:val="000000"/>
                <w:sz w:val="16"/>
                <w:szCs w:val="16"/>
                <w:lang w:val="en-US"/>
              </w:rPr>
              <w:br/>
              <w:t>- Okolní plochy chraňte vhodným způsobem před znečištěním.</w:t>
            </w:r>
            <w:r>
              <w:rPr>
                <w:rFonts w:cs="Arial"/>
                <w:color w:val="000000"/>
                <w:sz w:val="16"/>
                <w:szCs w:val="16"/>
                <w:lang w:val="en-US"/>
              </w:rPr>
              <w:br/>
            </w:r>
            <w:r>
              <w:rPr>
                <w:rFonts w:cs="Arial"/>
                <w:color w:val="000000"/>
                <w:sz w:val="16"/>
                <w:szCs w:val="16"/>
                <w:lang w:val="en-US"/>
              </w:rPr>
              <w:br/>
              <w:t>Tipy:</w:t>
            </w:r>
            <w:r>
              <w:rPr>
                <w:rFonts w:cs="Arial"/>
                <w:color w:val="000000"/>
                <w:sz w:val="16"/>
                <w:szCs w:val="16"/>
                <w:lang w:val="en-US"/>
              </w:rPr>
              <w:br/>
              <w:t>- Obecně před každou aplikací doporučujeme realizovat zkušební plochu/ vzorek.</w:t>
            </w:r>
            <w:r>
              <w:rPr>
                <w:rFonts w:cs="Arial"/>
                <w:color w:val="000000"/>
                <w:sz w:val="16"/>
                <w:szCs w:val="16"/>
                <w:lang w:val="en-US"/>
              </w:rPr>
              <w:br/>
              <w:t>- Dbejte na doporučení pro zpracování všech souvisejících produktů Murexin – viz příslušné Technické listy.</w:t>
            </w:r>
            <w:r>
              <w:rPr>
                <w:rFonts w:cs="Arial"/>
                <w:color w:val="000000"/>
                <w:sz w:val="16"/>
                <w:szCs w:val="16"/>
                <w:lang w:val="en-US"/>
              </w:rPr>
              <w:br/>
              <w:t>- Pro případné opravy je vhodné uschovat originální balení produktu shodné šarže.</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br/>
              <w:t>Technické parametry uváděné v Technickém listě reprezentují průměrné hodnoty, dosažené při laboratorním testování. Vzhledem k používání přírodních surovin se mohou parametry jednotlivých šarží nepatrně lišit, což však nijak zásadně neovlivňuje kvalitu výrobku.</w:t>
            </w:r>
            <w:r>
              <w:rPr>
                <w:rFonts w:cs="Arial"/>
                <w:color w:val="000000"/>
                <w:sz w:val="16"/>
                <w:szCs w:val="16"/>
                <w:lang w:val="en-US"/>
              </w:rPr>
              <w:br/>
            </w:r>
          </w:p>
          <w:p w14:paraId="50CEDAC4" w14:textId="77777777" w:rsidR="00874092" w:rsidRPr="00F741D9" w:rsidRDefault="00874092" w:rsidP="00DE79A7">
            <w:pPr>
              <w:rPr>
                <w:rFonts w:cs="Arial"/>
                <w:b/>
                <w:color w:val="000000"/>
                <w:sz w:val="20"/>
                <w:szCs w:val="20"/>
                <w:lang w:val="en-US"/>
              </w:rPr>
            </w:pPr>
          </w:p>
        </w:tc>
      </w:tr>
      <w:tr w:rsidR="00D45DAC" w:rsidRPr="00F741D9" w14:paraId="50CEDAC7" w14:textId="77777777" w:rsidTr="00347BDB">
        <w:trPr>
          <w:trHeight w:hRule="exact" w:val="480"/>
        </w:trPr>
        <w:tc>
          <w:tcPr>
            <w:tcW w:w="5000" w:type="pct"/>
            <w:gridSpan w:val="2"/>
            <w:shd w:val="clear" w:color="auto" w:fill="D04F7E"/>
            <w:vAlign w:val="center"/>
          </w:tcPr>
          <w:p w14:paraId="50CEDAC6" w14:textId="77777777" w:rsidR="00D45DAC" w:rsidRPr="00F741D9" w:rsidRDefault="000B3EC1" w:rsidP="000B3EC1">
            <w:r>
              <w:rPr>
                <w:rFonts w:cs="Arial"/>
                <w:b/>
                <w:color w:val="FFFFFF"/>
                <w:sz w:val="24"/>
                <w:szCs w:val="24"/>
              </w:rPr>
              <w:t>Bezpečnostní pokyny</w:t>
            </w:r>
          </w:p>
        </w:tc>
      </w:tr>
      <w:tr w:rsidR="00D45DAC" w:rsidRPr="00F741D9" w14:paraId="50CEDACB" w14:textId="77777777" w:rsidTr="00347BDB">
        <w:tc>
          <w:tcPr>
            <w:tcW w:w="5000" w:type="pct"/>
            <w:gridSpan w:val="2"/>
          </w:tcPr>
          <w:p w14:paraId="50CEDAC8" w14:textId="77777777" w:rsidR="009E1590" w:rsidRPr="00F741D9" w:rsidRDefault="009E1590" w:rsidP="00DE79A7">
            <w:pPr>
              <w:rPr>
                <w:sz w:val="16"/>
                <w:szCs w:val="16"/>
              </w:rPr>
            </w:pPr>
          </w:p>
          <w:p w14:paraId="50CEDAC9" w14:textId="77777777" w:rsidR="00D45DAC" w:rsidRDefault="00124178" w:rsidP="00DE79A7">
            <w:pPr>
              <w:rPr>
                <w:rFonts w:cs="Arial"/>
                <w:sz w:val="16"/>
                <w:szCs w:val="16"/>
              </w:rPr>
            </w:pPr>
            <w:r w:rsidRPr="00F741D9">
              <w:rPr>
                <w:rFonts w:cs="Arial"/>
                <w:sz w:val="16"/>
                <w:szCs w:val="16"/>
              </w:rPr>
              <w:br/>
            </w:r>
            <w:r w:rsidRPr="00F741D9">
              <w:rPr>
                <w:rFonts w:cs="Arial"/>
                <w:sz w:val="16"/>
                <w:szCs w:val="16"/>
              </w:rPr>
              <w:br/>
            </w:r>
            <w:r w:rsidR="00DE79A7">
              <w:rPr>
                <w:rFonts w:cs="Arial"/>
                <w:sz w:val="16"/>
                <w:szCs w:val="16"/>
              </w:rPr>
              <w:t>Tento technický list vychází z rozsáhlých zkušeností, má poradit podle nejlepších vědomostí, není právně závazný a nezakládá ani smluvní právní poměr, ani vedlejší závazky z kupní smlouvy. Za kvalitu našich materiálů ručíme v rámci našich Všeobecných obchodních podmínek. Naše produkty smějí používat pouze kvalifikované osoby a/nebo zkušené, odborné a adekvátně zručně nadané osoby. Uživatel nemůže být zproštěn odpovědnosti zpětným dotazem při nejasnostech nebo odborným zpracováním. Obecně doporučujeme předem nanést zkušební plochu nebo provést test pomocí malého pokusu. Samozřejmě nemohou být zahrnuty veškeré možné současné a budoucí případy použití a zvláštní případy. Byly vynechány údaje, u kterých lze předpokládat, že jsou odborníkům známy.&amp;nbsp; Dodržujte platné technické, tuzemské a evropské normy, směrnice a technické listy, týkající se materiálů, podkladu a následné instalace! Případné pochybnosti nahlaste. Vydáním nové verze ztrácí tato verze svoji platnost. Aktuálně platný technický list, bezpečnostní list a Všeobecné obchodní podmínky si lze zobrazit na internetu na adrese &lt;a href="http://www.murexin.com"&gt;www.murexin.com&lt;/a&gt;.</w:t>
            </w:r>
          </w:p>
          <w:p w14:paraId="50CEDACA" w14:textId="77777777" w:rsidR="00874092" w:rsidRPr="00F741D9" w:rsidRDefault="00874092" w:rsidP="00DE79A7">
            <w:pPr>
              <w:rPr>
                <w:rFonts w:cs="Arial"/>
                <w:sz w:val="16"/>
                <w:szCs w:val="16"/>
              </w:rPr>
            </w:pPr>
          </w:p>
        </w:tc>
      </w:tr>
    </w:tbl>
    <w:p w14:paraId="50CEDAD3" w14:textId="77777777" w:rsidR="00124178" w:rsidRPr="00F741D9" w:rsidRDefault="00124178"/>
    <w:sectPr w:rsidR="00124178" w:rsidRPr="00F741D9" w:rsidSect="00874092">
      <w:headerReference w:type="even" r:id="rId14"/>
      <w:headerReference w:type="default" r:id="rId15"/>
      <w:footerReference w:type="even" r:id="rId16"/>
      <w:footerReference w:type="default" r:id="rId17"/>
      <w:headerReference w:type="first" r:id="rId18"/>
      <w:footerReference w:type="first" r:id="rId19"/>
      <w:pgSz w:w="11906" w:h="16838"/>
      <w:pgMar w:top="1843" w:right="707" w:bottom="707" w:left="14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EDADC" w14:textId="77777777" w:rsidR="00A90D91" w:rsidRDefault="00A90D91">
      <w:r>
        <w:separator/>
      </w:r>
    </w:p>
  </w:endnote>
  <w:endnote w:type="continuationSeparator" w:id="0">
    <w:p w14:paraId="50CEDADD" w14:textId="77777777" w:rsidR="00A90D91" w:rsidRDefault="00A9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1" w14:textId="77777777" w:rsidR="008771C6" w:rsidRDefault="008771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2" w14:textId="77777777" w:rsidR="002462A3" w:rsidRPr="008771C6" w:rsidRDefault="00D20C0B">
    <w:pPr>
      <w:rPr>
        <w:rFonts w:cs="Arial"/>
        <w:b/>
        <w:sz w:val="12"/>
        <w:szCs w:val="12"/>
        <w:lang w:val="en-US"/>
      </w:rPr>
    </w:pPr>
    <w:r>
      <w:rPr>
        <w:noProof/>
        <w:lang w:val="de-AT" w:eastAsia="de-AT"/>
      </w:rPr>
      <w:pict w14:anchorId="50CEDAEB">
        <v:shapetype id="_x0000_t32" coordsize="21600,21600" o:spt="32" o:oned="t" path="m,l21600,21600e" filled="f">
          <v:path arrowok="t" fillok="f" o:connecttype="none"/>
          <o:lock v:ext="edit" shapetype="t"/>
        </v:shapetype>
        <v:shape id="_x0000_s2049" type="#_x0000_t32" style="position:absolute;margin-left:0;margin-top:13.2pt;width:498.9pt;height:0;flip:y;z-index:251659264;mso-position-horizontal-relative:text;mso-position-vertical-relative:text" o:connectortype="straight"/>
      </w:pict>
    </w:r>
    <w:r w:rsidR="006F3715">
      <w:rPr>
        <w:rFonts w:cs="Arial"/>
        <w:b/>
        <w:color w:val="000000"/>
        <w:sz w:val="16"/>
        <w:szCs w:val="16"/>
        <w:lang w:val="en-US"/>
      </w:rPr>
      <w:t>40015</w:t>
    </w:r>
    <w:r w:rsidR="00CF4A8D" w:rsidRPr="008771C6">
      <w:rPr>
        <w:rFonts w:cs="Arial"/>
        <w:b/>
        <w:color w:val="000000"/>
        <w:sz w:val="16"/>
        <w:szCs w:val="16"/>
        <w:lang w:val="en-US"/>
      </w:rPr>
      <w:t xml:space="preserve">, </w:t>
    </w:r>
    <w:r w:rsidR="006F3715">
      <w:rPr>
        <w:rFonts w:cs="Arial"/>
        <w:b/>
        <w:color w:val="000000"/>
        <w:sz w:val="16"/>
        <w:szCs w:val="16"/>
        <w:lang w:val="en-US"/>
      </w:rPr>
      <w:t>Betonový potěr rychlý SE 24</w:t>
    </w:r>
    <w:r w:rsidR="00CF4A8D" w:rsidRPr="008771C6">
      <w:rPr>
        <w:rFonts w:cs="Arial"/>
        <w:b/>
        <w:color w:val="000000"/>
        <w:sz w:val="16"/>
        <w:szCs w:val="16"/>
        <w:lang w:val="en-US"/>
      </w:rPr>
      <w:t xml:space="preserve">, </w:t>
    </w:r>
    <w:r w:rsidR="006F3715">
      <w:rPr>
        <w:rFonts w:cs="Arial"/>
        <w:b/>
        <w:sz w:val="16"/>
        <w:szCs w:val="16"/>
        <w:lang w:val="en-US"/>
      </w:rPr>
      <w:t>platné od:</w:t>
    </w:r>
    <w:r w:rsidR="00CF4A8D" w:rsidRPr="008771C6">
      <w:rPr>
        <w:rFonts w:cs="Arial"/>
        <w:b/>
        <w:sz w:val="16"/>
        <w:szCs w:val="16"/>
        <w:lang w:val="en-US"/>
      </w:rPr>
      <w:t xml:space="preserve"> </w:t>
    </w:r>
    <w:r w:rsidR="006F3715">
      <w:rPr>
        <w:rFonts w:cs="Arial"/>
        <w:b/>
        <w:sz w:val="16"/>
        <w:szCs w:val="16"/>
        <w:lang w:val="en-US"/>
      </w:rPr>
      <w:t>06.11.2018</w:t>
    </w:r>
    <w:r w:rsidR="00CF4A8D" w:rsidRPr="008771C6">
      <w:rPr>
        <w:rFonts w:cs="Arial"/>
        <w:b/>
        <w:sz w:val="16"/>
        <w:szCs w:val="16"/>
        <w:lang w:val="en-US"/>
      </w:rPr>
      <w:t xml:space="preserve">, </w:t>
    </w:r>
    <w:r w:rsidR="006F3715">
      <w:rPr>
        <w:rFonts w:cs="Arial"/>
        <w:b/>
        <w:sz w:val="16"/>
        <w:szCs w:val="16"/>
        <w:lang w:val="en-US"/>
      </w:rPr>
      <w:t>Bycek Martin</w:t>
    </w:r>
    <w:r w:rsidR="00CF4A8D" w:rsidRPr="008771C6">
      <w:rPr>
        <w:rFonts w:cs="Arial"/>
        <w:b/>
        <w:sz w:val="16"/>
        <w:szCs w:val="16"/>
        <w:lang w:val="en-US"/>
      </w:rPr>
      <w:t xml:space="preserve">, </w:t>
    </w:r>
    <w:r w:rsidR="006F3715">
      <w:rPr>
        <w:rFonts w:cs="Arial"/>
        <w:b/>
        <w:sz w:val="16"/>
        <w:szCs w:val="16"/>
        <w:lang w:val="en-US"/>
      </w:rPr>
      <w:t>Strana</w:t>
    </w:r>
    <w:r w:rsidR="00CF4A8D" w:rsidRPr="008771C6">
      <w:rPr>
        <w:rFonts w:cs="Arial"/>
        <w:b/>
        <w:sz w:val="16"/>
        <w:szCs w:val="16"/>
        <w:lang w:val="en-US"/>
      </w:rPr>
      <w:t xml:space="preserve"> </w:t>
    </w:r>
    <w:r w:rsidR="00CF4A8D" w:rsidRPr="00F741D9">
      <w:rPr>
        <w:rFonts w:cs="Arial"/>
        <w:b/>
        <w:sz w:val="16"/>
        <w:szCs w:val="16"/>
      </w:rPr>
      <w:fldChar w:fldCharType="begin"/>
    </w:r>
    <w:r w:rsidR="00CF4A8D" w:rsidRPr="008771C6">
      <w:rPr>
        <w:rFonts w:cs="Arial"/>
        <w:b/>
        <w:sz w:val="16"/>
        <w:szCs w:val="16"/>
        <w:lang w:val="en-US"/>
      </w:rPr>
      <w:instrText xml:space="preserve"> PAGE   \* MERGEFORMAT </w:instrText>
    </w:r>
    <w:r w:rsidR="00CF4A8D" w:rsidRPr="00F741D9">
      <w:rPr>
        <w:rFonts w:cs="Arial"/>
        <w:b/>
        <w:sz w:val="16"/>
        <w:szCs w:val="16"/>
      </w:rPr>
      <w:fldChar w:fldCharType="separate"/>
    </w:r>
    <w:r>
      <w:rPr>
        <w:rFonts w:cs="Arial"/>
        <w:b/>
        <w:noProof/>
        <w:sz w:val="16"/>
        <w:szCs w:val="16"/>
        <w:lang w:val="en-US"/>
      </w:rPr>
      <w:t>1</w:t>
    </w:r>
    <w:r w:rsidR="00CF4A8D" w:rsidRPr="00F741D9">
      <w:rPr>
        <w:rFonts w:cs="Arial"/>
        <w:b/>
        <w:noProof/>
        <w:sz w:val="16"/>
        <w:szCs w:val="16"/>
      </w:rPr>
      <w:fldChar w:fldCharType="end"/>
    </w:r>
    <w:r w:rsidR="00124178" w:rsidRPr="008771C6">
      <w:rPr>
        <w:rFonts w:cs="Arial"/>
        <w:sz w:val="16"/>
        <w:szCs w:val="16"/>
        <w:lang w:val="en-US"/>
      </w:rPr>
      <w:br/>
    </w:r>
  </w:p>
  <w:p w14:paraId="50CEDAE3" w14:textId="49827B41" w:rsidR="009D472B" w:rsidRPr="00651467" w:rsidRDefault="00651467">
    <w:pPr>
      <w:rPr>
        <w:b/>
        <w:sz w:val="16"/>
        <w:szCs w:val="16"/>
        <w:lang w:val="en-US"/>
      </w:rPr>
    </w:pPr>
    <w:r>
      <w:rPr>
        <w:rFonts w:ascii="Arial" w:hAnsi="Arial" w:cs="Arial"/>
        <w:sz w:val="12"/>
        <w:szCs w:val="12"/>
        <w:lang w:val="en-US"/>
      </w:rPr>
      <w:t>Murexin spol. s r.o.: CZ-664 42 Modřice, Brněnská 679</w:t>
    </w:r>
    <w:r w:rsidR="00124178" w:rsidRPr="00651467">
      <w:rPr>
        <w:lang w:val="en-US"/>
      </w:rPr>
      <w:br/>
    </w:r>
    <w:r w:rsidR="00124178" w:rsidRPr="00651467">
      <w:rPr>
        <w:rFonts w:ascii="Arial" w:hAnsi="Arial" w:cs="Arial"/>
        <w:sz w:val="12"/>
        <w:szCs w:val="12"/>
        <w:lang w:val="en-US"/>
      </w:rPr>
      <w:t xml:space="preserve">Tel.: </w:t>
    </w:r>
    <w:r>
      <w:rPr>
        <w:rFonts w:ascii="Arial" w:hAnsi="Arial" w:cs="Arial"/>
        <w:sz w:val="12"/>
        <w:szCs w:val="12"/>
        <w:lang w:val="en-US"/>
      </w:rPr>
      <w:t>+420/5/484 26 711</w:t>
    </w:r>
    <w:r w:rsidR="00124178" w:rsidRPr="00651467">
      <w:rPr>
        <w:rFonts w:ascii="Arial" w:hAnsi="Arial" w:cs="Arial"/>
        <w:sz w:val="12"/>
        <w:szCs w:val="12"/>
        <w:lang w:val="en-US"/>
      </w:rPr>
      <w:t xml:space="preserve"> Fax: </w:t>
    </w:r>
    <w:r>
      <w:rPr>
        <w:rFonts w:ascii="Arial" w:hAnsi="Arial" w:cs="Arial"/>
        <w:sz w:val="12"/>
        <w:szCs w:val="12"/>
        <w:lang w:val="en-US"/>
      </w:rPr>
      <w:t>+420/5/484 26 721</w:t>
    </w:r>
    <w:r w:rsidR="00124178" w:rsidRPr="00651467">
      <w:rPr>
        <w:lang w:val="en-US"/>
      </w:rPr>
      <w:br/>
    </w:r>
    <w:r w:rsidR="00124178" w:rsidRPr="00651467">
      <w:rPr>
        <w:rFonts w:ascii="Arial" w:hAnsi="Arial" w:cs="Arial"/>
        <w:sz w:val="12"/>
        <w:szCs w:val="12"/>
        <w:lang w:val="en-US"/>
      </w:rPr>
      <w:t xml:space="preserve">EMail: </w:t>
    </w:r>
    <w:r>
      <w:rPr>
        <w:rFonts w:ascii="Arial" w:hAnsi="Arial" w:cs="Arial"/>
        <w:sz w:val="12"/>
        <w:szCs w:val="12"/>
        <w:lang w:val="en-US"/>
      </w:rPr>
      <w:t>murexin@murexin.cz</w:t>
    </w:r>
    <w:r w:rsidR="00124178" w:rsidRPr="00651467">
      <w:rPr>
        <w:rFonts w:ascii="Arial" w:hAnsi="Arial" w:cs="Arial"/>
        <w:sz w:val="12"/>
        <w:szCs w:val="12"/>
        <w:lang w:val="en-US"/>
      </w:rPr>
      <w:t xml:space="preserve">, </w:t>
    </w:r>
    <w:r>
      <w:rPr>
        <w:rFonts w:ascii="Arial" w:hAnsi="Arial" w:cs="Arial"/>
        <w:sz w:val="12"/>
        <w:szCs w:val="12"/>
        <w:lang w:val="en-US"/>
      </w:rPr>
      <w:t>www.murexin.com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6" w14:textId="77777777" w:rsidR="009D472B" w:rsidRDefault="00DE79A7">
    <w:pPr>
      <w:rPr>
        <w:b/>
        <w:sz w:val="16"/>
        <w:szCs w:val="16"/>
      </w:rPr>
    </w:pPr>
    <w:r>
      <w:rPr>
        <w:rFonts w:ascii="Arial" w:hAnsi="Arial" w:cs="Arial"/>
        <w:b/>
        <w:color w:val="000000"/>
        <w:sz w:val="16"/>
        <w:szCs w:val="16"/>
      </w:rPr>
      <w:t>40015</w:t>
    </w:r>
    <w:r w:rsidR="00124178" w:rsidRPr="00CF4A8D">
      <w:rPr>
        <w:rFonts w:ascii="Arial" w:hAnsi="Arial" w:cs="Arial"/>
        <w:b/>
        <w:color w:val="000000"/>
        <w:sz w:val="16"/>
        <w:szCs w:val="16"/>
      </w:rPr>
      <w:t>,</w:t>
    </w:r>
    <w:r w:rsidR="00CF4A8D" w:rsidRPr="00CF4A8D">
      <w:rPr>
        <w:rFonts w:ascii="Arial" w:hAnsi="Arial" w:cs="Arial"/>
        <w:b/>
        <w:color w:val="000000"/>
        <w:sz w:val="16"/>
        <w:szCs w:val="16"/>
      </w:rPr>
      <w:t xml:space="preserve"> </w:t>
    </w:r>
    <w:r>
      <w:rPr>
        <w:rFonts w:ascii="Arial" w:hAnsi="Arial" w:cs="Arial"/>
        <w:b/>
        <w:color w:val="000000"/>
        <w:sz w:val="16"/>
        <w:szCs w:val="16"/>
      </w:rPr>
      <w:t>Betonový potěr rychlý SE 24</w:t>
    </w:r>
    <w:r w:rsidR="00CF4A8D" w:rsidRPr="00CF4A8D">
      <w:rPr>
        <w:rFonts w:ascii="Arial" w:hAnsi="Arial" w:cs="Arial"/>
        <w:b/>
        <w:color w:val="000000"/>
        <w:sz w:val="16"/>
        <w:szCs w:val="16"/>
      </w:rPr>
      <w:t xml:space="preserve">, </w:t>
    </w:r>
    <w:r w:rsidR="00124178" w:rsidRPr="00CF4A8D">
      <w:rPr>
        <w:rFonts w:ascii="Arial" w:hAnsi="Arial" w:cs="Arial"/>
        <w:b/>
        <w:sz w:val="16"/>
        <w:szCs w:val="16"/>
      </w:rPr>
      <w:t>gültig ab:</w:t>
    </w:r>
    <w:r w:rsidR="00CF4A8D" w:rsidRPr="00CF4A8D">
      <w:rPr>
        <w:rFonts w:ascii="Arial" w:hAnsi="Arial" w:cs="Arial"/>
        <w:b/>
        <w:sz w:val="16"/>
        <w:szCs w:val="16"/>
      </w:rPr>
      <w:t xml:space="preserve"> </w:t>
    </w:r>
    <w:r>
      <w:rPr>
        <w:rFonts w:ascii="Arial" w:hAnsi="Arial" w:cs="Arial"/>
        <w:b/>
        <w:sz w:val="16"/>
        <w:szCs w:val="16"/>
      </w:rPr>
      <w:t>06.11.2018</w:t>
    </w:r>
    <w:r w:rsidR="00CF4A8D" w:rsidRPr="00CF4A8D">
      <w:rPr>
        <w:rFonts w:ascii="Arial" w:hAnsi="Arial" w:cs="Arial"/>
        <w:b/>
        <w:sz w:val="16"/>
        <w:szCs w:val="16"/>
      </w:rPr>
      <w:t xml:space="preserve">, </w:t>
    </w:r>
    <w:r>
      <w:rPr>
        <w:rFonts w:ascii="Arial" w:hAnsi="Arial" w:cs="Arial"/>
        <w:b/>
        <w:sz w:val="16"/>
        <w:szCs w:val="16"/>
      </w:rPr>
      <w:t>Bycek Martin</w:t>
    </w:r>
    <w:r w:rsidR="00124178" w:rsidRPr="00CF4A8D">
      <w:rPr>
        <w:rFonts w:ascii="Arial" w:hAnsi="Arial" w:cs="Arial"/>
        <w:b/>
        <w:sz w:val="16"/>
        <w:szCs w:val="16"/>
      </w:rPr>
      <w:t>,</w:t>
    </w:r>
    <w:r w:rsidR="00CF4A8D" w:rsidRPr="00CF4A8D">
      <w:rPr>
        <w:rFonts w:ascii="Arial" w:hAnsi="Arial" w:cs="Arial"/>
        <w:b/>
        <w:sz w:val="16"/>
        <w:szCs w:val="16"/>
      </w:rPr>
      <w:t xml:space="preserve"> Seite </w:t>
    </w:r>
    <w:r w:rsidR="00124178" w:rsidRPr="00CF4A8D">
      <w:rPr>
        <w:rFonts w:ascii="Arial" w:hAnsi="Arial" w:cs="Arial"/>
        <w:b/>
        <w:sz w:val="16"/>
        <w:szCs w:val="16"/>
      </w:rPr>
      <w:fldChar w:fldCharType="begin"/>
    </w:r>
    <w:r w:rsidR="00124178" w:rsidRPr="00CF4A8D">
      <w:rPr>
        <w:rFonts w:ascii="Arial" w:hAnsi="Arial" w:cs="Arial"/>
        <w:b/>
        <w:sz w:val="16"/>
        <w:szCs w:val="16"/>
      </w:rPr>
      <w:instrText xml:space="preserve"> PAGE   \* MERGEFORMAT </w:instrText>
    </w:r>
    <w:r w:rsidR="00124178" w:rsidRPr="00CF4A8D">
      <w:rPr>
        <w:rFonts w:ascii="Arial" w:hAnsi="Arial" w:cs="Arial"/>
        <w:b/>
        <w:sz w:val="16"/>
        <w:szCs w:val="16"/>
      </w:rPr>
      <w:fldChar w:fldCharType="separate"/>
    </w:r>
    <w:r w:rsidR="002462A3">
      <w:rPr>
        <w:rFonts w:ascii="Arial" w:hAnsi="Arial" w:cs="Arial"/>
        <w:b/>
        <w:noProof/>
        <w:sz w:val="16"/>
        <w:szCs w:val="16"/>
      </w:rPr>
      <w:t>1</w:t>
    </w:r>
    <w:r w:rsidR="00124178" w:rsidRPr="00CF4A8D">
      <w:rPr>
        <w:rFonts w:ascii="Arial" w:hAnsi="Arial" w:cs="Arial"/>
        <w:b/>
        <w:noProof/>
        <w:sz w:val="16"/>
        <w:szCs w:val="16"/>
      </w:rPr>
      <w:fldChar w:fldCharType="end"/>
    </w:r>
    <w:r w:rsidR="00124178" w:rsidRPr="00CF4A8D">
      <w:rPr>
        <w:b/>
      </w:rPr>
      <w:br/>
    </w:r>
    <w:r w:rsidR="00D20C0B">
      <w:rPr>
        <w:noProof/>
        <w:lang w:val="de-AT" w:eastAsia="de-AT"/>
      </w:rPr>
      <w:pict w14:anchorId="50CEDAF0">
        <v:shapetype id="_x0000_t32" coordsize="21600,21600" o:spt="32" o:oned="t" path="m,l21600,21600e" filled="f">
          <v:path arrowok="t" fillok="f" o:connecttype="none"/>
          <o:lock v:ext="edit" shapetype="t"/>
        </v:shapetype>
        <v:shape id="_x0000_s3073" type="#_x0000_t32" style="position:absolute;margin-left:0;margin-top:21pt;width:498.9pt;height:0;flip:y;z-index:251660288;mso-position-horizontal-relative:text;mso-position-vertical-relative:text" o:connectortype="straight"/>
      </w:pict>
    </w:r>
    <w:r w:rsidR="00124178">
      <w:rPr>
        <w:rFonts w:ascii="Arial" w:hAnsi="Arial" w:cs="Arial"/>
        <w:b/>
        <w:sz w:val="12"/>
        <w:szCs w:val="12"/>
      </w:rPr>
      <w:t>MUREXIN AG:</w:t>
    </w:r>
    <w:r w:rsidR="00124178">
      <w:rPr>
        <w:rFonts w:ascii="Arial" w:hAnsi="Arial" w:cs="Arial"/>
        <w:sz w:val="12"/>
        <w:szCs w:val="12"/>
      </w:rPr>
      <w:t>:      A-2700 Wiener Neustadt, Franz von Furtenbach Straße 1</w:t>
    </w:r>
    <w:r w:rsidR="00124178">
      <w:br/>
    </w:r>
    <w:r w:rsidR="00124178">
      <w:rPr>
        <w:rFonts w:ascii="Arial" w:hAnsi="Arial" w:cs="Arial"/>
        <w:sz w:val="12"/>
        <w:szCs w:val="12"/>
      </w:rPr>
      <w:t>Tel.: +43(0)2622 / 27 401 - 0, Fax: +43(0)2622 / 27 401 DW 187</w:t>
    </w:r>
    <w:r w:rsidR="00124178">
      <w:br/>
    </w:r>
    <w:r w:rsidR="00124178">
      <w:rPr>
        <w:rFonts w:ascii="Arial" w:hAnsi="Arial" w:cs="Arial"/>
        <w:sz w:val="12"/>
        <w:szCs w:val="12"/>
      </w:rPr>
      <w:t>EMail: info@murexin.com, www.murexin.com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EDADA" w14:textId="77777777" w:rsidR="00A90D91" w:rsidRDefault="00A90D91">
      <w:r>
        <w:separator/>
      </w:r>
    </w:p>
  </w:footnote>
  <w:footnote w:type="continuationSeparator" w:id="0">
    <w:p w14:paraId="50CEDADB" w14:textId="77777777" w:rsidR="00A90D91" w:rsidRDefault="00A9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DE" w14:textId="77777777" w:rsidR="008771C6" w:rsidRDefault="008771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DF" w14:textId="77777777" w:rsidR="00612E0D" w:rsidRPr="00F741D9" w:rsidRDefault="007B4E44" w:rsidP="00612E0D">
    <w:pPr>
      <w:pBdr>
        <w:bottom w:val="single" w:sz="6" w:space="1" w:color="auto"/>
      </w:pBdr>
      <w:ind w:right="2427"/>
      <w:rPr>
        <w:rFonts w:cs="Arial"/>
        <w:sz w:val="40"/>
        <w:szCs w:val="40"/>
      </w:rPr>
    </w:pPr>
    <w:r>
      <w:rPr>
        <w:rFonts w:cs="Arial"/>
        <w:noProof/>
        <w:sz w:val="40"/>
        <w:szCs w:val="40"/>
        <w:lang w:val="cs-CZ" w:eastAsia="cs-CZ"/>
      </w:rPr>
      <w:drawing>
        <wp:anchor distT="0" distB="0" distL="114300" distR="114300" simplePos="0" relativeHeight="251658240" behindDoc="1" locked="0" layoutInCell="1" allowOverlap="1" wp14:anchorId="50CEDAE7" wp14:editId="50CEDAE8">
          <wp:simplePos x="0" y="0"/>
          <wp:positionH relativeFrom="column">
            <wp:posOffset>4741545</wp:posOffset>
          </wp:positionH>
          <wp:positionV relativeFrom="paragraph">
            <wp:posOffset>5080</wp:posOffset>
          </wp:positionV>
          <wp:extent cx="1714500" cy="609600"/>
          <wp:effectExtent l="0" t="0" r="0"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Icon-2129F729.png"/>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anchor>
      </w:drawing>
    </w:r>
    <w:r w:rsidR="00B8080E" w:rsidRPr="00F741D9">
      <w:rPr>
        <w:noProof/>
        <w:lang w:val="cs-CZ" w:eastAsia="cs-CZ"/>
      </w:rPr>
      <w:drawing>
        <wp:anchor distT="0" distB="0" distL="114300" distR="114300" simplePos="0" relativeHeight="251656192" behindDoc="0" locked="0" layoutInCell="1" allowOverlap="1" wp14:anchorId="50CEDAE9" wp14:editId="50CEDAEA">
          <wp:simplePos x="0" y="0"/>
          <wp:positionH relativeFrom="column">
            <wp:posOffset>-1097280</wp:posOffset>
          </wp:positionH>
          <wp:positionV relativeFrom="paragraph">
            <wp:posOffset>49530</wp:posOffset>
          </wp:positionV>
          <wp:extent cx="1047750" cy="628650"/>
          <wp:effectExtent l="0" t="209550" r="0" b="190500"/>
          <wp:wrapNone/>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rFonts w:cs="Arial"/>
        <w:sz w:val="40"/>
        <w:szCs w:val="40"/>
      </w:rPr>
      <w:t>TECHNICKÝ LIST</w:t>
    </w:r>
  </w:p>
  <w:p w14:paraId="50CEDAE0" w14:textId="77777777" w:rsidR="009D472B" w:rsidRPr="00F741D9" w:rsidRDefault="00504970" w:rsidP="00612E0D">
    <w:pPr>
      <w:spacing w:before="120"/>
      <w:ind w:right="2427"/>
    </w:pPr>
    <w:r>
      <w:t>Obklady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4" w14:textId="77777777" w:rsidR="00DE79A7" w:rsidRDefault="00612E0D" w:rsidP="00612E0D">
    <w:pPr>
      <w:pBdr>
        <w:bottom w:val="single" w:sz="6" w:space="1" w:color="auto"/>
      </w:pBdr>
      <w:ind w:right="2427"/>
      <w:rPr>
        <w:rFonts w:ascii="Arial" w:hAnsi="Arial" w:cs="Arial"/>
        <w:sz w:val="40"/>
        <w:szCs w:val="40"/>
      </w:rPr>
    </w:pPr>
    <w:r>
      <w:rPr>
        <w:noProof/>
        <w:lang w:val="cs-CZ" w:eastAsia="cs-CZ"/>
      </w:rPr>
      <w:drawing>
        <wp:anchor distT="0" distB="0" distL="114300" distR="114300" simplePos="0" relativeHeight="251655168" behindDoc="0" locked="0" layoutInCell="1" allowOverlap="1" wp14:anchorId="50CEDAEC" wp14:editId="50CEDAED">
          <wp:simplePos x="0" y="0"/>
          <wp:positionH relativeFrom="column">
            <wp:posOffset>-1097280</wp:posOffset>
          </wp:positionH>
          <wp:positionV relativeFrom="paragraph">
            <wp:posOffset>48895</wp:posOffset>
          </wp:positionV>
          <wp:extent cx="1047750" cy="628650"/>
          <wp:effectExtent l="0" t="209550" r="0" b="190500"/>
          <wp:wrapNone/>
          <wp:docPr id="174" name="Grafi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216" behindDoc="0" locked="0" layoutInCell="1" allowOverlap="1" wp14:anchorId="50CEDAEE" wp14:editId="50CEDAEF">
          <wp:simplePos x="0" y="0"/>
          <wp:positionH relativeFrom="column">
            <wp:posOffset>4848225</wp:posOffset>
          </wp:positionH>
          <wp:positionV relativeFrom="paragraph">
            <wp:posOffset>60960</wp:posOffset>
          </wp:positionV>
          <wp:extent cx="1685925" cy="438150"/>
          <wp:effectExtent l="0" t="0" r="0" b="0"/>
          <wp:wrapNone/>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85925" cy="438150"/>
                  </a:xfrm>
                  <a:prstGeom prst="rect">
                    <a:avLst/>
                  </a:prstGeom>
                </pic:spPr>
              </pic:pic>
            </a:graphicData>
          </a:graphic>
        </wp:anchor>
      </w:drawing>
    </w:r>
    <w:r w:rsidR="00124178">
      <w:rPr>
        <w:rFonts w:ascii="Arial" w:hAnsi="Arial" w:cs="Arial"/>
        <w:sz w:val="40"/>
        <w:szCs w:val="40"/>
      </w:rPr>
      <w:t>TECHNISCHES MERKBLATT</w:t>
    </w:r>
  </w:p>
  <w:p w14:paraId="50CEDAE5" w14:textId="77777777" w:rsidR="009D472B" w:rsidRDefault="00612E0D" w:rsidP="00612E0D">
    <w:pPr>
      <w:spacing w:before="120"/>
      <w:ind w:right="2427"/>
    </w:pPr>
    <w:r>
      <w:rPr>
        <w:rFonts w:ascii="Arial" w:hAnsi="Arial" w:cs="Arial"/>
        <w:color w:val="000000"/>
      </w:rPr>
      <w:t>Fliesenverlegetechnik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0"/>
  <w:activeWritingStyle w:appName="MSWord" w:lang="de-DE" w:vendorID="64" w:dllVersion="131078" w:nlCheck="1" w:checkStyle="0"/>
  <w:activeWritingStyle w:appName="MSWord" w:lang="de-AT" w:vendorID="64" w:dllVersion="131078" w:nlCheck="1" w:checkStyle="0"/>
  <w:defaultTabStop w:val="720"/>
  <w:hyphenationZone w:val="425"/>
  <w:characterSpacingControl w:val="doNotCompress"/>
  <w:hdrShapeDefaults>
    <o:shapedefaults v:ext="edit" spidmax="3074"/>
    <o:shapelayout v:ext="edit">
      <o:idmap v:ext="edit" data="2,3"/>
      <o:rules v:ext="edit">
        <o:r id="V:Rule3" type="connector" idref="#_x0000_s2049"/>
        <o:r id="V:Rule4" type="connector" idref="#_x0000_s3073"/>
      </o:rules>
    </o:shapelayout>
  </w:hdrShapeDefaults>
  <w:footnotePr>
    <w:footnote w:id="-1"/>
    <w:footnote w:id="0"/>
  </w:footnotePr>
  <w:endnotePr>
    <w:endnote w:id="-1"/>
    <w:endnote w:id="0"/>
  </w:endnotePr>
  <w:compat>
    <w:compatSetting w:name="compatibilityMode" w:uri="http://schemas.microsoft.com/office/word" w:val="12"/>
  </w:compat>
  <w:rsids>
    <w:rsidRoot w:val="00217F62"/>
    <w:rsid w:val="00022D7A"/>
    <w:rsid w:val="000B3EC1"/>
    <w:rsid w:val="000C496B"/>
    <w:rsid w:val="00116BEE"/>
    <w:rsid w:val="00124178"/>
    <w:rsid w:val="00154589"/>
    <w:rsid w:val="001915A3"/>
    <w:rsid w:val="00217F62"/>
    <w:rsid w:val="002462A3"/>
    <w:rsid w:val="002D5978"/>
    <w:rsid w:val="002E040A"/>
    <w:rsid w:val="0033276B"/>
    <w:rsid w:val="00347BDB"/>
    <w:rsid w:val="00356E0B"/>
    <w:rsid w:val="0036747B"/>
    <w:rsid w:val="003705B1"/>
    <w:rsid w:val="00370620"/>
    <w:rsid w:val="003A6C79"/>
    <w:rsid w:val="00504970"/>
    <w:rsid w:val="005129FE"/>
    <w:rsid w:val="005B3059"/>
    <w:rsid w:val="00610D94"/>
    <w:rsid w:val="00612E0D"/>
    <w:rsid w:val="00651467"/>
    <w:rsid w:val="00682BD9"/>
    <w:rsid w:val="006A1F3E"/>
    <w:rsid w:val="006D2A4C"/>
    <w:rsid w:val="006F3715"/>
    <w:rsid w:val="007B4E44"/>
    <w:rsid w:val="007E0FA3"/>
    <w:rsid w:val="00874092"/>
    <w:rsid w:val="008771C6"/>
    <w:rsid w:val="008F332A"/>
    <w:rsid w:val="009A2FB9"/>
    <w:rsid w:val="009E1590"/>
    <w:rsid w:val="009E424C"/>
    <w:rsid w:val="00A14DF4"/>
    <w:rsid w:val="00A906D8"/>
    <w:rsid w:val="00A90D91"/>
    <w:rsid w:val="00A911FC"/>
    <w:rsid w:val="00AB5A74"/>
    <w:rsid w:val="00AC7DE6"/>
    <w:rsid w:val="00AF56A2"/>
    <w:rsid w:val="00B22766"/>
    <w:rsid w:val="00B8080E"/>
    <w:rsid w:val="00B867AF"/>
    <w:rsid w:val="00BD7863"/>
    <w:rsid w:val="00C167D2"/>
    <w:rsid w:val="00C17A06"/>
    <w:rsid w:val="00C32EA2"/>
    <w:rsid w:val="00C35559"/>
    <w:rsid w:val="00C4602D"/>
    <w:rsid w:val="00CC1806"/>
    <w:rsid w:val="00CE212D"/>
    <w:rsid w:val="00CF4A8D"/>
    <w:rsid w:val="00D04792"/>
    <w:rsid w:val="00D048D2"/>
    <w:rsid w:val="00D16835"/>
    <w:rsid w:val="00D20C0B"/>
    <w:rsid w:val="00D45DAC"/>
    <w:rsid w:val="00D478D7"/>
    <w:rsid w:val="00D51898"/>
    <w:rsid w:val="00D55156"/>
    <w:rsid w:val="00DC74FD"/>
    <w:rsid w:val="00DE6348"/>
    <w:rsid w:val="00DE79A7"/>
    <w:rsid w:val="00E75CC5"/>
    <w:rsid w:val="00EB1DF7"/>
    <w:rsid w:val="00F071AE"/>
    <w:rsid w:val="00F32513"/>
    <w:rsid w:val="00F741D9"/>
    <w:rsid w:val="00F75A42"/>
    <w:rsid w:val="00F940B7"/>
    <w:rsid w:val="00FC202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CEDA74"/>
  <w15:docId w15:val="{12BD0E24-D319-4062-85C3-A8EF425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65E"/>
  </w:style>
  <w:style w:type="paragraph" w:styleId="Nadpis1">
    <w:name w:val="heading 1"/>
    <w:basedOn w:val="Normln"/>
    <w:next w:val="Normln"/>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63428"/>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263428"/>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rsid w:val="00263428"/>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rsid w:val="00263428"/>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rsid w:val="00263428"/>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rsid w:val="002634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26342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26342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DE79A7"/>
    <w:pPr>
      <w:tabs>
        <w:tab w:val="center" w:pos="4536"/>
        <w:tab w:val="right" w:pos="9072"/>
      </w:tabs>
    </w:pPr>
  </w:style>
  <w:style w:type="character" w:customStyle="1" w:styleId="ZhlavChar">
    <w:name w:val="Záhlaví Char"/>
    <w:basedOn w:val="Standardnpsmoodstavce"/>
    <w:link w:val="Zhlav"/>
    <w:uiPriority w:val="99"/>
    <w:rsid w:val="00DE79A7"/>
  </w:style>
  <w:style w:type="paragraph" w:styleId="Zpat">
    <w:name w:val="footer"/>
    <w:basedOn w:val="Normln"/>
    <w:link w:val="ZpatChar"/>
    <w:uiPriority w:val="99"/>
    <w:unhideWhenUsed/>
    <w:rsid w:val="00DE79A7"/>
    <w:pPr>
      <w:tabs>
        <w:tab w:val="center" w:pos="4536"/>
        <w:tab w:val="right" w:pos="9072"/>
      </w:tabs>
    </w:pPr>
  </w:style>
  <w:style w:type="character" w:customStyle="1" w:styleId="ZpatChar">
    <w:name w:val="Zápatí Char"/>
    <w:basedOn w:val="Standardnpsmoodstavce"/>
    <w:link w:val="Zpat"/>
    <w:uiPriority w:val="99"/>
    <w:rsid w:val="00DE79A7"/>
  </w:style>
  <w:style w:type="table" w:styleId="Mkatabulky">
    <w:name w:val="Table Grid"/>
    <w:basedOn w:val="Normlntabulka"/>
    <w:uiPriority w:val="59"/>
    <w:rsid w:val="0061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12E0D"/>
    <w:rPr>
      <w:color w:val="808080"/>
    </w:rPr>
  </w:style>
  <w:style w:type="paragraph" w:styleId="Textbubliny">
    <w:name w:val="Balloon Text"/>
    <w:basedOn w:val="Normln"/>
    <w:link w:val="TextbublinyChar"/>
    <w:uiPriority w:val="99"/>
    <w:semiHidden/>
    <w:unhideWhenUsed/>
    <w:rsid w:val="006F3715"/>
    <w:rPr>
      <w:rFonts w:ascii="Tahoma" w:hAnsi="Tahoma" w:cs="Tahoma"/>
      <w:sz w:val="16"/>
      <w:szCs w:val="16"/>
    </w:rPr>
  </w:style>
  <w:style w:type="character" w:customStyle="1" w:styleId="TextbublinyChar">
    <w:name w:val="Text bubliny Char"/>
    <w:basedOn w:val="Standardnpsmoodstavce"/>
    <w:link w:val="Textbubliny"/>
    <w:uiPriority w:val="99"/>
    <w:semiHidden/>
    <w:rsid w:val="006F3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C52B2D731574EAED93CA7EB10BD43" ma:contentTypeVersion="15" ma:contentTypeDescription="Ein neues Dokument erstellen." ma:contentTypeScope="" ma:versionID="52164c7cd76b70c28a07788a29b5e866">
  <xsd:schema xmlns:xsd="http://www.w3.org/2001/XMLSchema" xmlns:xs="http://www.w3.org/2001/XMLSchema" xmlns:p="http://schemas.microsoft.com/office/2006/metadata/properties" xmlns:ns1="http://schemas.microsoft.com/sharepoint/v3" xmlns:ns2="b4b99bc4-bdbf-4354-83a9-2e3203fb84fb" targetNamespace="http://schemas.microsoft.com/office/2006/metadata/properties" ma:root="true" ma:fieldsID="c86f985bc5e0da9cdd7eedf336c43ed5" ns1:_="" ns2:_="">
    <xsd:import namespace="http://schemas.microsoft.com/sharepoint/v3"/>
    <xsd:import namespace="b4b99bc4-bdbf-4354-83a9-2e3203fb84fb"/>
    <xsd:element name="properties">
      <xsd:complexType>
        <xsd:sequence>
          <xsd:element name="documentManagement">
            <xsd:complexType>
              <xsd:all>
                <xsd:element ref="ns2:WarengruppenCode" minOccurs="0"/>
                <xsd:element ref="ns2:Warengruppe" minOccurs="0"/>
                <xsd:element ref="ns2:Archivieren" minOccurs="0"/>
                <xsd:element ref="ns2:Export" minOccurs="0"/>
                <xsd:element ref="ns2:DatePicker" minOccurs="0"/>
                <xsd:element ref="ns2:Sparte" minOccurs="0"/>
                <xsd:element ref="ns2:Materialtyp" minOccurs="0"/>
                <xsd:element ref="ns2:Warengruppe_x003a_WarengruppenCode" minOccurs="0"/>
                <xsd:element ref="ns1:WarengruppenCode_Transl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arengruppenCode_Translation" ma:index="15" nillable="true" ma:displayName="WarengruppenCode Notes" ma:internalName="WarengruppenCode_Translation"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99bc4-bdbf-4354-83a9-2e3203fb84fb" elementFormDefault="qualified">
    <xsd:import namespace="http://schemas.microsoft.com/office/2006/documentManagement/types"/>
    <xsd:import namespace="http://schemas.microsoft.com/office/infopath/2007/PartnerControls"/>
    <xsd:element name="WarengruppenCode" ma:index="2" nillable="true" ma:displayName="WarengruppenCode" ma:internalName="WarengruppenCode" ma:readOnly="false">
      <xsd:simpleType>
        <xsd:restriction base="dms:Text"/>
      </xsd:simpleType>
    </xsd:element>
    <xsd:element name="Warengruppe" ma:index="3" nillable="true" ma:displayName="Warengruppe" ma:list="{77cfaa6d-f0d1-4bea-9a2a-90c5414c0649}" ma:internalName="Warengruppe" ma:readOnly="false" ma:showField="Warengruppenbezeichnung">
      <xsd:simpleType>
        <xsd:restriction base="dms:Lookup"/>
      </xsd:simpleType>
    </xsd:element>
    <xsd:element name="Archivieren" ma:index="4" nillable="true" ma:displayName="Archivieren" ma:default="0" ma:internalName="Archivieren" ma:readOnly="false">
      <xsd:simpleType>
        <xsd:restriction base="dms:Boolean"/>
      </xsd:simpleType>
    </xsd:element>
    <xsd:element name="Export" ma:index="5" nillable="true" ma:displayName="Export" ma:default="0" ma:internalName="Export" ma:readOnly="false">
      <xsd:simpleType>
        <xsd:restriction base="dms:Boolean"/>
      </xsd:simpleType>
    </xsd:element>
    <xsd:element name="DatePicker" ma:index="6" nillable="true" ma:displayName="Eingabe Ablaufdatum" ma:format="DateOnly" ma:internalName="DatePicker" ma:readOnly="false">
      <xsd:simpleType>
        <xsd:restriction base="dms:DateTime"/>
      </xsd:simpleType>
    </xsd:element>
    <xsd:element name="Sparte" ma:index="8" nillable="true" ma:displayName="Sparte" ma:default="" ma:format="Dropdown" ma:internalName="Sparte" ma:readOnly="false">
      <xsd:simpleType>
        <xsd:union memberTypes="dms:Text">
          <xsd:simpleType>
            <xsd:restriction base="dms:Choice">
              <xsd:enumeration value=""/>
              <xsd:enumeration value="ESS"/>
              <xsd:enumeration value="FAT"/>
              <xsd:enumeration value="FLT"/>
              <xsd:enumeration value="KLT"/>
              <xsd:enumeration value="BET"/>
              <xsd:enumeration value="EMT"/>
              <xsd:enumeration value="ADT"/>
            </xsd:restriction>
          </xsd:simpleType>
        </xsd:union>
      </xsd:simpleType>
    </xsd:element>
    <xsd:element name="Materialtyp" ma:index="9" nillable="true" ma:displayName="Materialtyp" ma:list="{98e7ff79-d836-44ea-be79-708abf61d475}" ma:internalName="Materialtyp" ma:readOnly="false" ma:showField="LinkTitleNoMenu" ma:web="5a5a8855-2b55-43d5-abc7-4e4d9ebf8066">
      <xsd:simpleType>
        <xsd:restriction base="dms:Lookup"/>
      </xsd:simpleType>
    </xsd:element>
    <xsd:element name="Warengruppe_x003a_WarengruppenCode" ma:index="13" nillable="true" ma:displayName="Warengruppen Code" ma:list="{77cfaa6d-f0d1-4bea-9a2a-90c5414c0649}" ma:internalName="Warengruppe_x003a_WarengruppenCode" ma:readOnly="true" ma:showField="WarengruppenCode" ma:web="5a5a8855-2b55-43d5-abc7-4e4d9ebf806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arengruppenCode xmlns="b4b99bc4-bdbf-4354-83a9-2e3203fb84fb">40015</WarengruppenCode>
    <Export xmlns="b4b99bc4-bdbf-4354-83a9-2e3203fb84fb">false</Export>
    <Materialtyp xmlns="b4b99bc4-bdbf-4354-83a9-2e3203fb84fb">1</Materialtyp>
    <DatePicker xmlns="b4b99bc4-bdbf-4354-83a9-2e3203fb84fb" xsi:nil="true"/>
    <Sparte xmlns="b4b99bc4-bdbf-4354-83a9-2e3203fb84fb"></Sparte>
    <Warengruppe xmlns="b4b99bc4-bdbf-4354-83a9-2e3203fb84fb" xsi:nil="true"/>
    <Archivieren xmlns="b4b99bc4-bdbf-4354-83a9-2e3203fb84fb">false</Archivier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BE3F-D0E4-4970-B7A6-3BB678D55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b99bc4-bdbf-4354-83a9-2e3203fb8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53328-7E04-426D-BFD0-1FD255BA3EFD}">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4b99bc4-bdbf-4354-83a9-2e3203fb84f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3676DB6-4AA0-438C-81DF-670064F8A5D3}">
  <ds:schemaRefs>
    <ds:schemaRef ds:uri="http://schemas.microsoft.com/sharepoint/v3/contenttype/forms"/>
  </ds:schemaRefs>
</ds:datastoreItem>
</file>

<file path=customXml/itemProps4.xml><?xml version="1.0" encoding="utf-8"?>
<ds:datastoreItem xmlns:ds="http://schemas.openxmlformats.org/officeDocument/2006/customXml" ds:itemID="{243F4969-1788-4A7B-93F5-DC7F51CF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Býček Martin</cp:lastModifiedBy>
  <cp:revision>42</cp:revision>
  <dcterms:created xsi:type="dcterms:W3CDTF">2016-03-30T06:42:00Z</dcterms:created>
  <dcterms:modified xsi:type="dcterms:W3CDTF">2022-02-10T10:02:00Z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sheet_division">
    <vt:lpwstr>[DIVISION]</vt:lpwstr>
  </property>
  <property fmtid="{D5CDD505-2E9C-101B-9397-08002B2CF9AE}" pid="3" name="datasheet_techfacts">
    <vt:lpwstr>[TECHFACTS]</vt:lpwstr>
  </property>
  <property fmtid="{D5CDD505-2E9C-101B-9397-08002B2CF9AE}" pid="4" name="datasheet_product_number">
    <vt:lpwstr>[PRODUCT NUMBER]</vt:lpwstr>
  </property>
  <property fmtid="{D5CDD505-2E9C-101B-9397-08002B2CF9AE}" pid="5" name="datasheet_product_versions">
    <vt:lpwstr>[PRODUCT VERSIONS LIST]</vt:lpwstr>
  </property>
  <property fmtid="{D5CDD505-2E9C-101B-9397-08002B2CF9AE}" pid="6" name="datasheet_last_change">
    <vt:lpwstr>[LAST CHANGE]</vt:lpwstr>
  </property>
  <property fmtid="{D5CDD505-2E9C-101B-9397-08002B2CF9AE}" pid="7" name="datasheet_version_author">
    <vt:lpwstr>[AUTHOR]</vt:lpwstr>
  </property>
  <property fmtid="{D5CDD505-2E9C-101B-9397-08002B2CF9AE}" pid="8" name="datasheet_product">
    <vt:lpwstr>[PRODUCT]</vt:lpwstr>
  </property>
  <property fmtid="{D5CDD505-2E9C-101B-9397-08002B2CF9AE}" pid="9" name="datasheet_product_benefit_1">
    <vt:lpwstr>[PRODUCT BENEFIT #1]</vt:lpwstr>
  </property>
  <property fmtid="{D5CDD505-2E9C-101B-9397-08002B2CF9AE}" pid="10" name="datasheet_product_benefit_2">
    <vt:lpwstr>[PRODUCT BENEFIT #2]</vt:lpwstr>
  </property>
  <property fmtid="{D5CDD505-2E9C-101B-9397-08002B2CF9AE}" pid="11" name="datasheet_product_benefit_3">
    <vt:lpwstr>[PRODUCT BENEFIT #3]</vt:lpwstr>
  </property>
  <property fmtid="{D5CDD505-2E9C-101B-9397-08002B2CF9AE}" pid="12" name="datasheet_product_benefit_4">
    <vt:lpwstr>[PRODUCT BENEFIT #4]</vt:lpwstr>
  </property>
  <property fmtid="{D5CDD505-2E9C-101B-9397-08002B2CF9AE}" pid="13" name="datasheet_product_benefit_5">
    <vt:lpwstr>[PRODUCT BENEFIT #5]</vt:lpwstr>
  </property>
  <property fmtid="{D5CDD505-2E9C-101B-9397-08002B2CF9AE}" pid="14" name="datasheet_product_info">
    <vt:lpwstr>[PRODUCT INFO]</vt:lpwstr>
  </property>
  <property fmtid="{D5CDD505-2E9C-101B-9397-08002B2CF9AE}" pid="15" name="datasheet_field_application">
    <vt:lpwstr>[FIELD OF APPLICATION]</vt:lpwstr>
  </property>
  <property fmtid="{D5CDD505-2E9C-101B-9397-08002B2CF9AE}" pid="16" name="datasheet_container">
    <vt:lpwstr>[CONTAINER]</vt:lpwstr>
  </property>
  <property fmtid="{D5CDD505-2E9C-101B-9397-08002B2CF9AE}" pid="17" name="datasheet_overpack">
    <vt:lpwstr>[OVERPACK]</vt:lpwstr>
  </property>
  <property fmtid="{D5CDD505-2E9C-101B-9397-08002B2CF9AE}" pid="18" name="datasheet_pallet">
    <vt:lpwstr>[PALLET]</vt:lpwstr>
  </property>
  <property fmtid="{D5CDD505-2E9C-101B-9397-08002B2CF9AE}" pid="19" name="datasheet_storage">
    <vt:lpwstr>[STORAGE]</vt:lpwstr>
  </property>
  <property fmtid="{D5CDD505-2E9C-101B-9397-08002B2CF9AE}" pid="20" name="datasheet_storage_duration">
    <vt:lpwstr>[STORAGE DURATION]</vt:lpwstr>
  </property>
  <property fmtid="{D5CDD505-2E9C-101B-9397-08002B2CF9AE}" pid="21" name="datasheet_tools">
    <vt:lpwstr>[TOOLS]</vt:lpwstr>
  </property>
  <property fmtid="{D5CDD505-2E9C-101B-9397-08002B2CF9AE}" pid="22" name="datasheet_blend">
    <vt:lpwstr>[BLEND]</vt:lpwstr>
  </property>
  <property fmtid="{D5CDD505-2E9C-101B-9397-08002B2CF9AE}" pid="23" name="datasheet_process">
    <vt:lpwstr>[PROCESS]</vt:lpwstr>
  </property>
  <property fmtid="{D5CDD505-2E9C-101B-9397-08002B2CF9AE}" pid="24" name="datasheet_after_treatment">
    <vt:lpwstr>[AFTER TREATMENT]</vt:lpwstr>
  </property>
  <property fmtid="{D5CDD505-2E9C-101B-9397-08002B2CF9AE}" pid="25" name="datasheet_consumption">
    <vt:lpwstr>[CONSUMPTION]</vt:lpwstr>
  </property>
  <property fmtid="{D5CDD505-2E9C-101B-9397-08002B2CF9AE}" pid="26" name="datasheet_density">
    <vt:lpwstr>[DENSITY]</vt:lpwstr>
  </property>
  <property fmtid="{D5CDD505-2E9C-101B-9397-08002B2CF9AE}" pid="27" name="datasheet_drying">
    <vt:lpwstr>[DRYING]</vt:lpwstr>
  </property>
  <property fmtid="{D5CDD505-2E9C-101B-9397-08002B2CF9AE}" pid="28" name="datasheet_binder">
    <vt:lpwstr>[BINDER]</vt:lpwstr>
  </property>
  <property fmtid="{D5CDD505-2E9C-101B-9397-08002B2CF9AE}" pid="29" name="datasheet_thinner">
    <vt:lpwstr>[THINNER]</vt:lpwstr>
  </property>
  <property fmtid="{D5CDD505-2E9C-101B-9397-08002B2CF9AE}" pid="30" name="datasheet_standard_designation">
    <vt:lpwstr>[STANDARD DESIGATION]</vt:lpwstr>
  </property>
  <property fmtid="{D5CDD505-2E9C-101B-9397-08002B2CF9AE}" pid="31" name="datasheet_substrate">
    <vt:lpwstr>[SUBSTRATE]</vt:lpwstr>
  </property>
  <property fmtid="{D5CDD505-2E9C-101B-9397-08002B2CF9AE}" pid="32" name="datasheet_suitable_substrate">
    <vt:lpwstr>[SUITABLE SUBSTRATE]</vt:lpwstr>
  </property>
  <property fmtid="{D5CDD505-2E9C-101B-9397-08002B2CF9AE}" pid="33" name="datasheet_substrate_pretreatment">
    <vt:lpwstr>[SUBSTRATE PRETREATMENT]</vt:lpwstr>
  </property>
  <property fmtid="{D5CDD505-2E9C-101B-9397-08002B2CF9AE}" pid="34" name="datasheet_perfect_system">
    <vt:lpwstr>[PERFECT SYSTEM]</vt:lpwstr>
  </property>
  <property fmtid="{D5CDD505-2E9C-101B-9397-08002B2CF9AE}" pid="35" name="datasheet_safety_instructions">
    <vt:lpwstr>[SAFETY INSTRUCTIONS]</vt:lpwstr>
  </property>
  <property fmtid="{D5CDD505-2E9C-101B-9397-08002B2CF9AE}" pid="36" name="datasheet_important_information">
    <vt:lpwstr>[IMPORTANT INFORMATION]</vt:lpwstr>
  </property>
  <property fmtid="{D5CDD505-2E9C-101B-9397-08002B2CF9AE}" pid="37" name="ContentTypeId">
    <vt:lpwstr>0x0101007EDC52B2D731574EAED93CA7EB10BD43</vt:lpwstr>
  </property>
</Properties>
</file>